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886D0">
      <w:pPr>
        <w:spacing w:line="360" w:lineRule="auto"/>
        <w:rPr>
          <w:rFonts w:ascii="宋体"/>
          <w:b/>
          <w:bCs/>
          <w:sz w:val="48"/>
        </w:rPr>
      </w:pPr>
      <w:bookmarkStart w:id="0" w:name="OLE_LINK5"/>
      <w:bookmarkStart w:id="1" w:name="OLE_LINK4"/>
    </w:p>
    <w:p w14:paraId="40489C06">
      <w:pPr>
        <w:spacing w:line="360" w:lineRule="auto"/>
        <w:jc w:val="center"/>
        <w:rPr>
          <w:rFonts w:ascii="宋体"/>
          <w:b/>
          <w:bCs/>
          <w:sz w:val="48"/>
          <w:szCs w:val="48"/>
          <w:u w:val="single"/>
        </w:rPr>
      </w:pPr>
    </w:p>
    <w:p w14:paraId="726465DB">
      <w:pPr>
        <w:jc w:val="center"/>
        <w:rPr>
          <w:b/>
          <w:sz w:val="48"/>
          <w:szCs w:val="48"/>
        </w:rPr>
      </w:pPr>
      <w:r>
        <w:rPr>
          <w:rFonts w:hint="eastAsia"/>
          <w:b/>
          <w:sz w:val="48"/>
          <w:szCs w:val="48"/>
        </w:rPr>
        <w:t>遂平县瑾瑜食品有限公司氨系统冷源增容移机招标</w:t>
      </w:r>
    </w:p>
    <w:p w14:paraId="10A4755A">
      <w:pPr>
        <w:jc w:val="center"/>
        <w:rPr>
          <w:b/>
          <w:sz w:val="48"/>
          <w:szCs w:val="48"/>
        </w:rPr>
      </w:pPr>
    </w:p>
    <w:p w14:paraId="1036BBAA">
      <w:pPr>
        <w:jc w:val="center"/>
        <w:rPr>
          <w:b/>
          <w:sz w:val="48"/>
          <w:szCs w:val="48"/>
        </w:rPr>
      </w:pPr>
    </w:p>
    <w:p w14:paraId="1ECA248E">
      <w:pPr>
        <w:jc w:val="center"/>
        <w:rPr>
          <w:rFonts w:ascii="宋体"/>
          <w:sz w:val="72"/>
          <w:szCs w:val="72"/>
        </w:rPr>
      </w:pPr>
      <w:r>
        <w:rPr>
          <w:rFonts w:hint="eastAsia" w:ascii="宋体"/>
          <w:sz w:val="72"/>
          <w:szCs w:val="72"/>
        </w:rPr>
        <w:t>招标文件</w:t>
      </w:r>
    </w:p>
    <w:p w14:paraId="4BE90D1D">
      <w:pPr>
        <w:jc w:val="center"/>
        <w:rPr>
          <w:rFonts w:ascii="宋体"/>
          <w:sz w:val="72"/>
          <w:szCs w:val="72"/>
        </w:rPr>
      </w:pPr>
    </w:p>
    <w:p w14:paraId="46A8EDD9">
      <w:pPr>
        <w:snapToGrid w:val="0"/>
        <w:spacing w:line="360" w:lineRule="auto"/>
        <w:jc w:val="center"/>
        <w:rPr>
          <w:rFonts w:hint="eastAsia" w:ascii="宋体" w:hAnsi="宋体" w:cs="宋体"/>
          <w:b/>
          <w:sz w:val="30"/>
          <w:szCs w:val="30"/>
          <w:u w:val="single"/>
        </w:rPr>
      </w:pPr>
      <w:r>
        <w:rPr>
          <w:rFonts w:hint="eastAsia" w:ascii="宋体" w:hAnsi="宋体" w:cs="宋体"/>
          <w:b/>
          <w:sz w:val="30"/>
          <w:szCs w:val="30"/>
        </w:rPr>
        <w:t>思念招标[202</w:t>
      </w:r>
      <w:r>
        <w:rPr>
          <w:rFonts w:ascii="宋体" w:hAnsi="宋体" w:cs="宋体"/>
          <w:b/>
          <w:sz w:val="30"/>
          <w:szCs w:val="30"/>
        </w:rPr>
        <w:t>6]第</w:t>
      </w:r>
      <w:r>
        <w:rPr>
          <w:rFonts w:hint="eastAsia" w:ascii="宋体" w:hAnsi="宋体" w:cs="宋体"/>
          <w:b/>
          <w:sz w:val="30"/>
          <w:szCs w:val="30"/>
        </w:rPr>
        <w:t>76</w:t>
      </w:r>
      <w:r>
        <w:rPr>
          <w:rFonts w:ascii="宋体" w:hAnsi="宋体" w:cs="宋体"/>
          <w:b/>
          <w:sz w:val="30"/>
          <w:szCs w:val="30"/>
        </w:rPr>
        <w:t>号</w:t>
      </w:r>
    </w:p>
    <w:p w14:paraId="59B96F47">
      <w:pPr>
        <w:jc w:val="center"/>
        <w:rPr>
          <w:rFonts w:ascii="宋体"/>
          <w:color w:val="000000"/>
          <w:sz w:val="32"/>
        </w:rPr>
      </w:pPr>
    </w:p>
    <w:p w14:paraId="39EEE1A4">
      <w:pPr>
        <w:rPr>
          <w:rFonts w:ascii="宋体"/>
          <w:color w:val="000000"/>
          <w:sz w:val="32"/>
        </w:rPr>
      </w:pPr>
    </w:p>
    <w:p w14:paraId="1C532B2B">
      <w:pPr>
        <w:rPr>
          <w:rFonts w:ascii="宋体"/>
          <w:color w:val="000000"/>
          <w:sz w:val="32"/>
        </w:rPr>
      </w:pPr>
    </w:p>
    <w:p w14:paraId="3DABDB40">
      <w:pPr>
        <w:rPr>
          <w:rFonts w:ascii="宋体"/>
          <w:color w:val="000000"/>
          <w:sz w:val="32"/>
        </w:rPr>
      </w:pPr>
    </w:p>
    <w:p w14:paraId="7CC3886E">
      <w:pPr>
        <w:rPr>
          <w:rFonts w:ascii="宋体"/>
          <w:color w:val="000000"/>
          <w:sz w:val="32"/>
        </w:rPr>
      </w:pPr>
    </w:p>
    <w:p w14:paraId="201E99FD">
      <w:pPr>
        <w:rPr>
          <w:rFonts w:hint="eastAsia" w:ascii="宋体"/>
          <w:color w:val="000000"/>
          <w:sz w:val="32"/>
        </w:rPr>
      </w:pPr>
    </w:p>
    <w:p w14:paraId="0506FCCC">
      <w:pPr>
        <w:rPr>
          <w:rFonts w:ascii="宋体"/>
          <w:color w:val="000000"/>
          <w:sz w:val="32"/>
        </w:rPr>
      </w:pPr>
    </w:p>
    <w:p w14:paraId="781CC9B7">
      <w:pPr>
        <w:rPr>
          <w:rFonts w:ascii="宋体"/>
          <w:color w:val="000000"/>
          <w:sz w:val="36"/>
          <w:szCs w:val="21"/>
        </w:rPr>
      </w:pPr>
    </w:p>
    <w:p w14:paraId="037366BF">
      <w:pPr>
        <w:spacing w:line="360" w:lineRule="auto"/>
        <w:jc w:val="center"/>
        <w:rPr>
          <w:rFonts w:hint="eastAsia" w:ascii="宋体" w:hAnsi="宋体" w:cs="宋体"/>
          <w:b/>
          <w:sz w:val="32"/>
          <w:szCs w:val="32"/>
          <w:u w:val="single"/>
        </w:rPr>
      </w:pPr>
      <w:r>
        <w:rPr>
          <w:rFonts w:hint="eastAsia" w:ascii="宋体" w:hAnsi="宋体" w:cs="宋体"/>
          <w:b/>
          <w:color w:val="000000"/>
          <w:sz w:val="32"/>
          <w:szCs w:val="32"/>
        </w:rPr>
        <w:t>项目名称:</w:t>
      </w:r>
      <w:r>
        <w:rPr>
          <w:rFonts w:hint="eastAsia"/>
        </w:rPr>
        <w:t xml:space="preserve"> </w:t>
      </w:r>
      <w:r>
        <w:rPr>
          <w:rFonts w:hint="eastAsia" w:ascii="宋体" w:hAnsi="宋体" w:cs="宋体"/>
          <w:b/>
          <w:color w:val="000000"/>
          <w:sz w:val="32"/>
          <w:szCs w:val="32"/>
          <w:u w:val="single"/>
        </w:rPr>
        <w:t>遂平县瑾瑜食品有限公司氨系统冷源增容移机招标</w:t>
      </w:r>
    </w:p>
    <w:p w14:paraId="7D396B33">
      <w:pPr>
        <w:snapToGrid w:val="0"/>
        <w:spacing w:line="360" w:lineRule="auto"/>
        <w:jc w:val="center"/>
        <w:rPr>
          <w:rFonts w:ascii="宋体"/>
          <w:b/>
          <w:sz w:val="30"/>
          <w:szCs w:val="30"/>
        </w:rPr>
      </w:pPr>
      <w:r>
        <w:rPr>
          <w:rFonts w:hint="eastAsia" w:ascii="宋体" w:hAnsi="宋体" w:cs="宋体"/>
          <w:b/>
          <w:color w:val="000000"/>
          <w:sz w:val="32"/>
          <w:szCs w:val="32"/>
        </w:rPr>
        <w:t>招 标 人:</w:t>
      </w:r>
      <w:r>
        <w:rPr>
          <w:rFonts w:hint="eastAsia" w:ascii="宋体" w:hAnsi="宋体" w:cs="宋体"/>
          <w:sz w:val="32"/>
          <w:szCs w:val="32"/>
        </w:rPr>
        <w:t xml:space="preserve"> </w:t>
      </w:r>
      <w:r>
        <w:rPr>
          <w:rFonts w:hint="eastAsia" w:ascii="宋体" w:hAnsi="宋体" w:cs="宋体"/>
          <w:b/>
          <w:bCs/>
          <w:sz w:val="32"/>
          <w:szCs w:val="32"/>
          <w:u w:val="single"/>
        </w:rPr>
        <w:t>思念食品有限公司</w:t>
      </w:r>
    </w:p>
    <w:p w14:paraId="1ED27E1D">
      <w:pPr>
        <w:snapToGrid w:val="0"/>
        <w:spacing w:line="360" w:lineRule="auto"/>
        <w:jc w:val="center"/>
        <w:rPr>
          <w:rFonts w:ascii="宋体"/>
          <w:b/>
          <w:sz w:val="30"/>
          <w:szCs w:val="30"/>
        </w:rPr>
      </w:pPr>
    </w:p>
    <w:p w14:paraId="0C3CD84F">
      <w:pPr>
        <w:snapToGrid w:val="0"/>
        <w:spacing w:line="360" w:lineRule="auto"/>
        <w:rPr>
          <w:rFonts w:ascii="宋体"/>
          <w:b/>
          <w:sz w:val="30"/>
          <w:szCs w:val="30"/>
        </w:rPr>
        <w:sectPr>
          <w:headerReference r:id="rId5" w:type="first"/>
          <w:headerReference r:id="rId3" w:type="default"/>
          <w:footerReference r:id="rId6" w:type="default"/>
          <w:headerReference r:id="rId4" w:type="even"/>
          <w:pgSz w:w="11907" w:h="16840"/>
          <w:pgMar w:top="1480" w:right="1134" w:bottom="1276" w:left="1134" w:header="851" w:footer="907" w:gutter="0"/>
          <w:pgNumType w:start="1"/>
          <w:cols w:space="720" w:num="1"/>
          <w:docGrid w:linePitch="286" w:charSpace="0"/>
        </w:sectPr>
      </w:pPr>
    </w:p>
    <w:p w14:paraId="154303E7">
      <w:pPr>
        <w:snapToGrid w:val="0"/>
        <w:spacing w:line="360" w:lineRule="auto"/>
        <w:rPr>
          <w:rFonts w:ascii="宋体"/>
          <w:b/>
          <w:sz w:val="30"/>
          <w:szCs w:val="30"/>
        </w:rPr>
      </w:pPr>
      <w:bookmarkStart w:id="2" w:name="OLE_LINK14"/>
      <w:bookmarkStart w:id="3" w:name="OLE_LINK13"/>
      <w:bookmarkStart w:id="4" w:name="_Toc301277397"/>
      <w:bookmarkStart w:id="5" w:name="_Toc364407825"/>
      <w:bookmarkStart w:id="6" w:name="OLE_LINK8"/>
      <w:bookmarkStart w:id="7" w:name="OLE_LINK3"/>
    </w:p>
    <w:p w14:paraId="46F9670B">
      <w:pPr>
        <w:snapToGrid w:val="0"/>
        <w:spacing w:line="360" w:lineRule="auto"/>
        <w:jc w:val="center"/>
        <w:rPr>
          <w:rFonts w:ascii="宋体"/>
          <w:b/>
          <w:sz w:val="30"/>
          <w:szCs w:val="30"/>
        </w:rPr>
      </w:pPr>
      <w:r>
        <w:rPr>
          <w:rFonts w:hint="eastAsia" w:ascii="宋体"/>
          <w:b/>
          <w:sz w:val="30"/>
          <w:szCs w:val="30"/>
        </w:rPr>
        <w:t>目  录</w:t>
      </w:r>
    </w:p>
    <w:p w14:paraId="68F2FEB0">
      <w:pPr>
        <w:pStyle w:val="10"/>
        <w:tabs>
          <w:tab w:val="right" w:leader="dot" w:pos="9639"/>
          <w:tab w:val="clear" w:pos="9628"/>
        </w:tabs>
        <w:ind w:firstLine="0" w:firstLineChars="0"/>
        <w:jc w:val="both"/>
        <w:rPr>
          <w:rFonts w:ascii="宋体"/>
          <w:sz w:val="24"/>
          <w:szCs w:val="24"/>
        </w:rPr>
      </w:pPr>
    </w:p>
    <w:p w14:paraId="4D21A324">
      <w:pPr>
        <w:pStyle w:val="10"/>
        <w:tabs>
          <w:tab w:val="right" w:leader="dot" w:pos="9639"/>
          <w:tab w:val="clear" w:pos="9628"/>
        </w:tabs>
        <w:ind w:firstLine="324"/>
      </w:pPr>
      <w:r>
        <w:rPr>
          <w:rFonts w:ascii="宋体"/>
          <w:sz w:val="24"/>
          <w:szCs w:val="24"/>
        </w:rPr>
        <w:fldChar w:fldCharType="begin"/>
      </w:r>
      <w:r>
        <w:rPr>
          <w:rFonts w:ascii="宋体"/>
          <w:sz w:val="24"/>
          <w:szCs w:val="24"/>
        </w:rPr>
        <w:instrText xml:space="preserve"> </w:instrText>
      </w:r>
      <w:r>
        <w:rPr>
          <w:rFonts w:hint="eastAsia" w:ascii="宋体"/>
          <w:sz w:val="24"/>
          <w:szCs w:val="24"/>
        </w:rPr>
        <w:instrText xml:space="preserve">TOC \o "1-3" \h \z \u</w:instrText>
      </w:r>
      <w:r>
        <w:rPr>
          <w:rFonts w:ascii="宋体"/>
          <w:sz w:val="24"/>
          <w:szCs w:val="24"/>
        </w:rPr>
        <w:instrText xml:space="preserve"> </w:instrText>
      </w:r>
      <w:r>
        <w:rPr>
          <w:rFonts w:ascii="宋体"/>
          <w:sz w:val="24"/>
          <w:szCs w:val="24"/>
        </w:rPr>
        <w:fldChar w:fldCharType="separate"/>
      </w:r>
      <w:r>
        <w:fldChar w:fldCharType="begin"/>
      </w:r>
      <w:r>
        <w:instrText xml:space="preserve"> HYPERLINK \l "_Toc25090" </w:instrText>
      </w:r>
      <w:r>
        <w:fldChar w:fldCharType="separate"/>
      </w:r>
      <w:r>
        <w:rPr>
          <w:rFonts w:hint="eastAsia" w:ascii="宋体"/>
          <w:bCs/>
          <w:szCs w:val="24"/>
        </w:rPr>
        <w:t>第一章  招标公告</w:t>
      </w:r>
      <w:r>
        <w:tab/>
      </w:r>
      <w:r>
        <w:fldChar w:fldCharType="begin"/>
      </w:r>
      <w:r>
        <w:instrText xml:space="preserve"> PAGEREF _Toc25090 \h </w:instrText>
      </w:r>
      <w:r>
        <w:fldChar w:fldCharType="separate"/>
      </w:r>
      <w:r>
        <w:t>1</w:t>
      </w:r>
      <w:r>
        <w:fldChar w:fldCharType="end"/>
      </w:r>
      <w:r>
        <w:fldChar w:fldCharType="end"/>
      </w:r>
    </w:p>
    <w:p w14:paraId="1E7C89ED">
      <w:pPr>
        <w:pStyle w:val="10"/>
        <w:tabs>
          <w:tab w:val="right" w:leader="dot" w:pos="9639"/>
          <w:tab w:val="clear" w:pos="9628"/>
        </w:tabs>
        <w:ind w:firstLine="270"/>
      </w:pPr>
      <w:r>
        <w:fldChar w:fldCharType="begin"/>
      </w:r>
      <w:r>
        <w:instrText xml:space="preserve"> HYPERLINK \l "_Toc25446" </w:instrText>
      </w:r>
      <w:r>
        <w:fldChar w:fldCharType="separate"/>
      </w:r>
      <w:r>
        <w:rPr>
          <w:rFonts w:hint="eastAsia" w:ascii="宋体"/>
          <w:bCs/>
          <w:szCs w:val="24"/>
        </w:rPr>
        <w:t>第二章  投标单位须知</w:t>
      </w:r>
      <w:r>
        <w:tab/>
      </w:r>
      <w:r>
        <w:fldChar w:fldCharType="begin"/>
      </w:r>
      <w:r>
        <w:instrText xml:space="preserve"> PAGEREF _Toc25446 \h </w:instrText>
      </w:r>
      <w:r>
        <w:fldChar w:fldCharType="separate"/>
      </w:r>
      <w:r>
        <w:t>2</w:t>
      </w:r>
      <w:r>
        <w:fldChar w:fldCharType="end"/>
      </w:r>
      <w:r>
        <w:fldChar w:fldCharType="end"/>
      </w:r>
    </w:p>
    <w:p w14:paraId="2AC40784">
      <w:pPr>
        <w:pStyle w:val="10"/>
        <w:tabs>
          <w:tab w:val="right" w:leader="dot" w:pos="9639"/>
          <w:tab w:val="clear" w:pos="9628"/>
        </w:tabs>
        <w:ind w:firstLine="270"/>
      </w:pPr>
      <w:r>
        <w:fldChar w:fldCharType="begin"/>
      </w:r>
      <w:r>
        <w:instrText xml:space="preserve"> HYPERLINK \l "_Toc1453" </w:instrText>
      </w:r>
      <w:r>
        <w:fldChar w:fldCharType="separate"/>
      </w:r>
      <w:r>
        <w:rPr>
          <w:rFonts w:hint="eastAsia" w:ascii="宋体"/>
          <w:bCs/>
          <w:szCs w:val="24"/>
        </w:rPr>
        <w:t>第三章  投标文件格式</w:t>
      </w:r>
      <w:r>
        <w:tab/>
      </w:r>
      <w:r>
        <w:fldChar w:fldCharType="begin"/>
      </w:r>
      <w:r>
        <w:instrText xml:space="preserve"> PAGEREF _Toc1453 \h </w:instrText>
      </w:r>
      <w:r>
        <w:fldChar w:fldCharType="separate"/>
      </w:r>
      <w:r>
        <w:t>4</w:t>
      </w:r>
      <w:r>
        <w:fldChar w:fldCharType="end"/>
      </w:r>
      <w:r>
        <w:fldChar w:fldCharType="end"/>
      </w:r>
    </w:p>
    <w:p w14:paraId="3D611231">
      <w:pPr>
        <w:pStyle w:val="12"/>
        <w:tabs>
          <w:tab w:val="right" w:leader="dot" w:pos="9639"/>
          <w:tab w:val="clear" w:pos="9628"/>
        </w:tabs>
        <w:ind w:firstLine="540"/>
      </w:pPr>
      <w:r>
        <w:fldChar w:fldCharType="begin"/>
      </w:r>
      <w:r>
        <w:instrText xml:space="preserve"> HYPERLINK \l "_Toc24884" </w:instrText>
      </w:r>
      <w:r>
        <w:fldChar w:fldCharType="separate"/>
      </w:r>
      <w:r>
        <w:rPr>
          <w:rFonts w:hint="eastAsia" w:ascii="宋体"/>
          <w:szCs w:val="28"/>
        </w:rPr>
        <w:t>一、投标函</w:t>
      </w:r>
      <w:r>
        <w:tab/>
      </w:r>
      <w:r>
        <w:fldChar w:fldCharType="begin"/>
      </w:r>
      <w:r>
        <w:instrText xml:space="preserve"> PAGEREF _Toc24884 \h </w:instrText>
      </w:r>
      <w:r>
        <w:fldChar w:fldCharType="separate"/>
      </w:r>
      <w:r>
        <w:t>7</w:t>
      </w:r>
      <w:r>
        <w:fldChar w:fldCharType="end"/>
      </w:r>
      <w:r>
        <w:fldChar w:fldCharType="end"/>
      </w:r>
    </w:p>
    <w:p w14:paraId="5003C754">
      <w:pPr>
        <w:pStyle w:val="12"/>
        <w:tabs>
          <w:tab w:val="right" w:leader="dot" w:pos="9639"/>
          <w:tab w:val="clear" w:pos="9628"/>
        </w:tabs>
        <w:ind w:firstLine="540"/>
      </w:pPr>
      <w:r>
        <w:fldChar w:fldCharType="begin"/>
      </w:r>
      <w:r>
        <w:instrText xml:space="preserve"> HYPERLINK \l "_Toc9853" </w:instrText>
      </w:r>
      <w:r>
        <w:fldChar w:fldCharType="separate"/>
      </w:r>
      <w:r>
        <w:rPr>
          <w:rFonts w:hint="eastAsia" w:ascii="宋体"/>
          <w:szCs w:val="28"/>
        </w:rPr>
        <w:t>二、法定代表人身份证明书</w:t>
      </w:r>
      <w:r>
        <w:tab/>
      </w:r>
      <w:r>
        <w:fldChar w:fldCharType="begin"/>
      </w:r>
      <w:r>
        <w:instrText xml:space="preserve"> PAGEREF _Toc9853 \h </w:instrText>
      </w:r>
      <w:r>
        <w:fldChar w:fldCharType="separate"/>
      </w:r>
      <w:r>
        <w:t>8</w:t>
      </w:r>
      <w:r>
        <w:fldChar w:fldCharType="end"/>
      </w:r>
      <w:r>
        <w:fldChar w:fldCharType="end"/>
      </w:r>
    </w:p>
    <w:p w14:paraId="3C02C013">
      <w:pPr>
        <w:pStyle w:val="12"/>
        <w:tabs>
          <w:tab w:val="right" w:leader="dot" w:pos="9639"/>
          <w:tab w:val="clear" w:pos="9628"/>
        </w:tabs>
        <w:ind w:firstLine="540"/>
      </w:pPr>
      <w:r>
        <w:fldChar w:fldCharType="begin"/>
      </w:r>
      <w:r>
        <w:instrText xml:space="preserve"> HYPERLINK \l "_Toc12854" </w:instrText>
      </w:r>
      <w:r>
        <w:fldChar w:fldCharType="separate"/>
      </w:r>
      <w:r>
        <w:rPr>
          <w:rFonts w:hint="eastAsia" w:ascii="宋体"/>
          <w:szCs w:val="28"/>
        </w:rPr>
        <w:t>三、投标授权委托书</w:t>
      </w:r>
      <w:r>
        <w:tab/>
      </w:r>
      <w:r>
        <w:fldChar w:fldCharType="begin"/>
      </w:r>
      <w:r>
        <w:instrText xml:space="preserve"> PAGEREF _Toc12854 \h </w:instrText>
      </w:r>
      <w:r>
        <w:fldChar w:fldCharType="separate"/>
      </w:r>
      <w:r>
        <w:t>9</w:t>
      </w:r>
      <w:r>
        <w:fldChar w:fldCharType="end"/>
      </w:r>
      <w:r>
        <w:fldChar w:fldCharType="end"/>
      </w:r>
    </w:p>
    <w:p w14:paraId="508F7B95">
      <w:pPr>
        <w:pStyle w:val="12"/>
        <w:tabs>
          <w:tab w:val="right" w:leader="dot" w:pos="9639"/>
          <w:tab w:val="clear" w:pos="9628"/>
        </w:tabs>
        <w:ind w:firstLine="540"/>
      </w:pPr>
      <w:r>
        <w:fldChar w:fldCharType="begin"/>
      </w:r>
      <w:r>
        <w:instrText xml:space="preserve"> HYPERLINK \l "_Toc4803" </w:instrText>
      </w:r>
      <w:r>
        <w:fldChar w:fldCharType="separate"/>
      </w:r>
      <w:r>
        <w:rPr>
          <w:rFonts w:hint="eastAsia" w:ascii="宋体"/>
          <w:szCs w:val="28"/>
        </w:rPr>
        <w:t>四、资质证明文件</w:t>
      </w:r>
      <w:r>
        <w:tab/>
      </w:r>
      <w:r>
        <w:fldChar w:fldCharType="begin"/>
      </w:r>
      <w:r>
        <w:instrText xml:space="preserve"> PAGEREF _Toc4803 \h </w:instrText>
      </w:r>
      <w:r>
        <w:fldChar w:fldCharType="separate"/>
      </w:r>
      <w:r>
        <w:t>10</w:t>
      </w:r>
      <w:r>
        <w:fldChar w:fldCharType="end"/>
      </w:r>
      <w:r>
        <w:fldChar w:fldCharType="end"/>
      </w:r>
    </w:p>
    <w:p w14:paraId="2B84E570">
      <w:pPr>
        <w:pStyle w:val="12"/>
        <w:tabs>
          <w:tab w:val="right" w:leader="dot" w:pos="9639"/>
          <w:tab w:val="clear" w:pos="9628"/>
        </w:tabs>
        <w:ind w:firstLine="540"/>
      </w:pPr>
      <w:r>
        <w:fldChar w:fldCharType="begin"/>
      </w:r>
      <w:r>
        <w:instrText xml:space="preserve"> HYPERLINK \l "_Toc5785" </w:instrText>
      </w:r>
      <w:r>
        <w:fldChar w:fldCharType="separate"/>
      </w:r>
      <w:r>
        <w:rPr>
          <w:rFonts w:hint="eastAsia" w:ascii="宋体"/>
          <w:szCs w:val="28"/>
        </w:rPr>
        <w:t>五、投标承诺</w:t>
      </w:r>
      <w:r>
        <w:tab/>
      </w:r>
      <w:r>
        <w:fldChar w:fldCharType="begin"/>
      </w:r>
      <w:r>
        <w:instrText xml:space="preserve"> PAGEREF _Toc5785 \h </w:instrText>
      </w:r>
      <w:r>
        <w:fldChar w:fldCharType="separate"/>
      </w:r>
      <w:r>
        <w:t>10</w:t>
      </w:r>
      <w:r>
        <w:fldChar w:fldCharType="end"/>
      </w:r>
      <w:r>
        <w:fldChar w:fldCharType="end"/>
      </w:r>
    </w:p>
    <w:p w14:paraId="2462B927">
      <w:pPr>
        <w:pStyle w:val="12"/>
        <w:tabs>
          <w:tab w:val="right" w:leader="dot" w:pos="9639"/>
          <w:tab w:val="clear" w:pos="9628"/>
        </w:tabs>
        <w:ind w:firstLine="540"/>
      </w:pPr>
      <w:r>
        <w:fldChar w:fldCharType="begin"/>
      </w:r>
      <w:r>
        <w:instrText xml:space="preserve"> HYPERLINK \l "_Toc7341" </w:instrText>
      </w:r>
      <w:r>
        <w:fldChar w:fldCharType="separate"/>
      </w:r>
      <w:r>
        <w:rPr>
          <w:rFonts w:hint="eastAsia" w:ascii="宋体"/>
          <w:szCs w:val="28"/>
        </w:rPr>
        <w:t>六、投标单位基本情况调查表</w:t>
      </w:r>
      <w:r>
        <w:tab/>
      </w:r>
      <w:r>
        <w:fldChar w:fldCharType="begin"/>
      </w:r>
      <w:r>
        <w:instrText xml:space="preserve"> PAGEREF _Toc7341 \h </w:instrText>
      </w:r>
      <w:r>
        <w:fldChar w:fldCharType="separate"/>
      </w:r>
      <w:r>
        <w:t>12</w:t>
      </w:r>
      <w:r>
        <w:fldChar w:fldCharType="end"/>
      </w:r>
      <w:r>
        <w:fldChar w:fldCharType="end"/>
      </w:r>
    </w:p>
    <w:p w14:paraId="7A65E13C">
      <w:pPr>
        <w:pStyle w:val="12"/>
        <w:tabs>
          <w:tab w:val="right" w:leader="dot" w:pos="9639"/>
          <w:tab w:val="clear" w:pos="9628"/>
        </w:tabs>
        <w:ind w:firstLine="540"/>
      </w:pPr>
      <w:r>
        <w:fldChar w:fldCharType="begin"/>
      </w:r>
      <w:r>
        <w:instrText xml:space="preserve"> HYPERLINK \l "_Toc22847" </w:instrText>
      </w:r>
      <w:r>
        <w:fldChar w:fldCharType="separate"/>
      </w:r>
      <w:r>
        <w:rPr>
          <w:rFonts w:hint="eastAsia" w:ascii="宋体"/>
          <w:szCs w:val="28"/>
        </w:rPr>
        <w:t>七、技术偏离答疑表</w:t>
      </w:r>
      <w:r>
        <w:tab/>
      </w:r>
      <w:r>
        <w:fldChar w:fldCharType="begin"/>
      </w:r>
      <w:r>
        <w:instrText xml:space="preserve"> PAGEREF _Toc22847 \h </w:instrText>
      </w:r>
      <w:r>
        <w:fldChar w:fldCharType="separate"/>
      </w:r>
      <w:r>
        <w:t>13</w:t>
      </w:r>
      <w:r>
        <w:fldChar w:fldCharType="end"/>
      </w:r>
      <w:r>
        <w:fldChar w:fldCharType="end"/>
      </w:r>
    </w:p>
    <w:p w14:paraId="317EB35C">
      <w:pPr>
        <w:pStyle w:val="12"/>
        <w:tabs>
          <w:tab w:val="right" w:leader="dot" w:pos="9639"/>
          <w:tab w:val="clear" w:pos="9628"/>
        </w:tabs>
        <w:ind w:firstLine="540"/>
      </w:pPr>
      <w:r>
        <w:fldChar w:fldCharType="begin"/>
      </w:r>
      <w:r>
        <w:instrText xml:space="preserve"> HYPERLINK \l "_Toc21511" </w:instrText>
      </w:r>
      <w:r>
        <w:fldChar w:fldCharType="separate"/>
      </w:r>
      <w:r>
        <w:rPr>
          <w:rFonts w:hint="eastAsia" w:ascii="宋体"/>
          <w:szCs w:val="28"/>
        </w:rPr>
        <w:t>八、近三年业绩</w:t>
      </w:r>
      <w:r>
        <w:tab/>
      </w:r>
      <w:r>
        <w:fldChar w:fldCharType="begin"/>
      </w:r>
      <w:r>
        <w:instrText xml:space="preserve"> PAGEREF _Toc21511 \h </w:instrText>
      </w:r>
      <w:r>
        <w:fldChar w:fldCharType="separate"/>
      </w:r>
      <w:r>
        <w:t>14</w:t>
      </w:r>
      <w:r>
        <w:fldChar w:fldCharType="end"/>
      </w:r>
      <w:r>
        <w:fldChar w:fldCharType="end"/>
      </w:r>
    </w:p>
    <w:p w14:paraId="64B38DF0">
      <w:pPr>
        <w:pStyle w:val="12"/>
        <w:tabs>
          <w:tab w:val="right" w:leader="dot" w:pos="9639"/>
          <w:tab w:val="clear" w:pos="9628"/>
        </w:tabs>
        <w:ind w:firstLine="540"/>
      </w:pPr>
      <w:r>
        <w:fldChar w:fldCharType="begin"/>
      </w:r>
      <w:r>
        <w:instrText xml:space="preserve"> HYPERLINK \l "_Toc16941" </w:instrText>
      </w:r>
      <w:r>
        <w:fldChar w:fldCharType="separate"/>
      </w:r>
      <w:r>
        <w:rPr>
          <w:rFonts w:hint="eastAsia" w:ascii="宋体"/>
          <w:szCs w:val="28"/>
        </w:rPr>
        <w:t>九、履约情况说明</w:t>
      </w:r>
      <w:r>
        <w:tab/>
      </w:r>
      <w:r>
        <w:fldChar w:fldCharType="begin"/>
      </w:r>
      <w:r>
        <w:instrText xml:space="preserve"> PAGEREF _Toc16941 \h </w:instrText>
      </w:r>
      <w:r>
        <w:fldChar w:fldCharType="separate"/>
      </w:r>
      <w:r>
        <w:t>14</w:t>
      </w:r>
      <w:r>
        <w:fldChar w:fldCharType="end"/>
      </w:r>
      <w:r>
        <w:fldChar w:fldCharType="end"/>
      </w:r>
    </w:p>
    <w:p w14:paraId="57590EE5">
      <w:pPr>
        <w:pStyle w:val="12"/>
        <w:tabs>
          <w:tab w:val="right" w:leader="dot" w:pos="9639"/>
          <w:tab w:val="clear" w:pos="9628"/>
        </w:tabs>
        <w:ind w:firstLine="540"/>
      </w:pPr>
      <w:r>
        <w:fldChar w:fldCharType="begin"/>
      </w:r>
      <w:r>
        <w:instrText xml:space="preserve"> HYPERLINK \l "_Toc19568" </w:instrText>
      </w:r>
      <w:r>
        <w:fldChar w:fldCharType="separate"/>
      </w:r>
      <w:r>
        <w:rPr>
          <w:rFonts w:hint="eastAsia" w:ascii="宋体"/>
          <w:szCs w:val="28"/>
        </w:rPr>
        <w:t>十、技术服务方案</w:t>
      </w:r>
      <w:r>
        <w:tab/>
      </w:r>
      <w:r>
        <w:fldChar w:fldCharType="begin"/>
      </w:r>
      <w:r>
        <w:instrText xml:space="preserve"> PAGEREF _Toc19568 \h </w:instrText>
      </w:r>
      <w:r>
        <w:fldChar w:fldCharType="separate"/>
      </w:r>
      <w:r>
        <w:t>15</w:t>
      </w:r>
      <w:r>
        <w:fldChar w:fldCharType="end"/>
      </w:r>
      <w:r>
        <w:fldChar w:fldCharType="end"/>
      </w:r>
    </w:p>
    <w:p w14:paraId="0E9D57D0">
      <w:pPr>
        <w:pStyle w:val="12"/>
        <w:tabs>
          <w:tab w:val="right" w:leader="dot" w:pos="9639"/>
          <w:tab w:val="clear" w:pos="9628"/>
        </w:tabs>
        <w:ind w:firstLine="540"/>
      </w:pPr>
      <w:r>
        <w:fldChar w:fldCharType="begin"/>
      </w:r>
      <w:r>
        <w:instrText xml:space="preserve"> HYPERLINK \l "_Toc7928" </w:instrText>
      </w:r>
      <w:r>
        <w:fldChar w:fldCharType="separate"/>
      </w:r>
      <w:r>
        <w:rPr>
          <w:rFonts w:hint="eastAsia" w:ascii="宋体"/>
          <w:szCs w:val="28"/>
        </w:rPr>
        <w:t>十一、投标保证金缴纳信息表</w:t>
      </w:r>
      <w:r>
        <w:tab/>
      </w:r>
      <w:r>
        <w:fldChar w:fldCharType="begin"/>
      </w:r>
      <w:r>
        <w:instrText xml:space="preserve"> PAGEREF _Toc7928 \h </w:instrText>
      </w:r>
      <w:r>
        <w:fldChar w:fldCharType="separate"/>
      </w:r>
      <w:r>
        <w:t>15</w:t>
      </w:r>
      <w:r>
        <w:fldChar w:fldCharType="end"/>
      </w:r>
      <w:r>
        <w:fldChar w:fldCharType="end"/>
      </w:r>
    </w:p>
    <w:p w14:paraId="453E7A43">
      <w:pPr>
        <w:pStyle w:val="12"/>
        <w:tabs>
          <w:tab w:val="right" w:leader="dot" w:pos="9639"/>
          <w:tab w:val="clear" w:pos="9628"/>
        </w:tabs>
        <w:ind w:firstLine="540"/>
      </w:pPr>
      <w:r>
        <w:fldChar w:fldCharType="begin"/>
      </w:r>
      <w:r>
        <w:instrText xml:space="preserve"> HYPERLINK \l "_Toc17694" </w:instrText>
      </w:r>
      <w:r>
        <w:fldChar w:fldCharType="separate"/>
      </w:r>
      <w:r>
        <w:rPr>
          <w:rFonts w:hint="eastAsia" w:ascii="宋体"/>
          <w:szCs w:val="28"/>
        </w:rPr>
        <w:t>十二、报价单</w:t>
      </w:r>
      <w:r>
        <w:tab/>
      </w:r>
      <w:r>
        <w:fldChar w:fldCharType="begin"/>
      </w:r>
      <w:r>
        <w:instrText xml:space="preserve"> PAGEREF _Toc17694 \h </w:instrText>
      </w:r>
      <w:r>
        <w:fldChar w:fldCharType="separate"/>
      </w:r>
      <w:r>
        <w:t>18</w:t>
      </w:r>
      <w:r>
        <w:fldChar w:fldCharType="end"/>
      </w:r>
      <w:r>
        <w:fldChar w:fldCharType="end"/>
      </w:r>
    </w:p>
    <w:p w14:paraId="08E542EC">
      <w:pPr>
        <w:pStyle w:val="12"/>
        <w:ind w:right="840" w:firstLine="540"/>
        <w:jc w:val="both"/>
        <w:rPr>
          <w:rFonts w:ascii="宋体"/>
          <w:kern w:val="2"/>
          <w:sz w:val="21"/>
          <w:szCs w:val="22"/>
        </w:rPr>
      </w:pPr>
      <w:r>
        <w:rPr>
          <w:rFonts w:ascii="宋体"/>
          <w:szCs w:val="24"/>
        </w:rPr>
        <w:fldChar w:fldCharType="end"/>
      </w:r>
      <w:r>
        <w:rPr>
          <w:rFonts w:ascii="宋体"/>
          <w:kern w:val="2"/>
          <w:sz w:val="21"/>
          <w:szCs w:val="22"/>
        </w:rPr>
        <w:t xml:space="preserve"> </w:t>
      </w:r>
    </w:p>
    <w:p w14:paraId="5E44FE65">
      <w:pPr>
        <w:snapToGrid w:val="0"/>
        <w:spacing w:line="360" w:lineRule="auto"/>
        <w:rPr>
          <w:rFonts w:ascii="宋体"/>
          <w:sz w:val="21"/>
          <w:szCs w:val="21"/>
        </w:rPr>
      </w:pPr>
    </w:p>
    <w:p w14:paraId="17E05E68">
      <w:pPr>
        <w:snapToGrid w:val="0"/>
        <w:spacing w:line="360" w:lineRule="auto"/>
        <w:ind w:left="1050" w:leftChars="525"/>
        <w:rPr>
          <w:rFonts w:ascii="宋体"/>
          <w:sz w:val="21"/>
          <w:szCs w:val="21"/>
        </w:rPr>
      </w:pPr>
    </w:p>
    <w:p w14:paraId="15927CF9">
      <w:pPr>
        <w:snapToGrid w:val="0"/>
        <w:spacing w:line="360" w:lineRule="auto"/>
        <w:ind w:left="1050" w:leftChars="525"/>
        <w:rPr>
          <w:rFonts w:ascii="宋体"/>
          <w:sz w:val="21"/>
          <w:szCs w:val="21"/>
        </w:rPr>
      </w:pPr>
    </w:p>
    <w:p w14:paraId="2FD110FC">
      <w:pPr>
        <w:snapToGrid w:val="0"/>
        <w:spacing w:line="360" w:lineRule="auto"/>
        <w:ind w:left="1050" w:leftChars="525"/>
        <w:rPr>
          <w:rFonts w:ascii="宋体"/>
          <w:sz w:val="21"/>
          <w:szCs w:val="21"/>
        </w:rPr>
      </w:pPr>
    </w:p>
    <w:p w14:paraId="028553B1">
      <w:pPr>
        <w:snapToGrid w:val="0"/>
        <w:spacing w:line="360" w:lineRule="auto"/>
        <w:ind w:left="1050" w:leftChars="525"/>
        <w:rPr>
          <w:rFonts w:ascii="宋体"/>
          <w:sz w:val="21"/>
          <w:szCs w:val="21"/>
        </w:rPr>
      </w:pPr>
    </w:p>
    <w:p w14:paraId="4FE84CFF">
      <w:pPr>
        <w:snapToGrid w:val="0"/>
        <w:spacing w:line="360" w:lineRule="auto"/>
        <w:ind w:left="1050" w:leftChars="525"/>
        <w:rPr>
          <w:rFonts w:ascii="宋体"/>
          <w:sz w:val="21"/>
          <w:szCs w:val="21"/>
        </w:rPr>
      </w:pPr>
    </w:p>
    <w:p w14:paraId="1DDEA61D">
      <w:pPr>
        <w:rPr>
          <w:rFonts w:ascii="宋体"/>
        </w:rPr>
      </w:pPr>
      <w:bookmarkStart w:id="8" w:name="_Toc301277396"/>
    </w:p>
    <w:bookmarkEnd w:id="8"/>
    <w:p w14:paraId="019757FE">
      <w:pPr>
        <w:pStyle w:val="2"/>
        <w:numPr>
          <w:ilvl w:val="0"/>
          <w:numId w:val="0"/>
        </w:numPr>
        <w:spacing w:before="120" w:beforeLines="50" w:line="360" w:lineRule="auto"/>
        <w:rPr>
          <w:rFonts w:ascii="宋体" w:eastAsia="宋体"/>
          <w:b/>
          <w:bCs/>
          <w:sz w:val="24"/>
          <w:szCs w:val="24"/>
        </w:rPr>
        <w:sectPr>
          <w:footerReference r:id="rId7" w:type="default"/>
          <w:pgSz w:w="11907" w:h="16840"/>
          <w:pgMar w:top="1480" w:right="1134" w:bottom="1276" w:left="1134" w:header="851" w:footer="907" w:gutter="0"/>
          <w:pgNumType w:start="1"/>
          <w:cols w:space="720" w:num="1"/>
          <w:docGrid w:linePitch="286" w:charSpace="0"/>
        </w:sectPr>
      </w:pPr>
    </w:p>
    <w:bookmarkEnd w:id="0"/>
    <w:bookmarkEnd w:id="1"/>
    <w:bookmarkEnd w:id="2"/>
    <w:bookmarkEnd w:id="3"/>
    <w:bookmarkEnd w:id="4"/>
    <w:bookmarkEnd w:id="5"/>
    <w:bookmarkEnd w:id="6"/>
    <w:bookmarkEnd w:id="7"/>
    <w:p w14:paraId="26175A41">
      <w:pPr>
        <w:jc w:val="center"/>
        <w:rPr>
          <w:rFonts w:hint="eastAsia" w:ascii="宋体" w:hAnsi="宋体" w:cs="宋体"/>
          <w:b/>
          <w:bCs/>
          <w:sz w:val="21"/>
          <w:szCs w:val="21"/>
        </w:rPr>
      </w:pPr>
      <w:bookmarkStart w:id="9" w:name="_Toc25090"/>
      <w:bookmarkStart w:id="10" w:name="_Toc25199"/>
    </w:p>
    <w:p w14:paraId="68EE452E">
      <w:pPr>
        <w:jc w:val="center"/>
        <w:rPr>
          <w:rFonts w:hint="eastAsia" w:ascii="宋体" w:hAnsi="宋体" w:cs="宋体"/>
          <w:b/>
          <w:bCs/>
          <w:sz w:val="24"/>
          <w:szCs w:val="24"/>
        </w:rPr>
      </w:pPr>
      <w:r>
        <w:rPr>
          <w:rFonts w:hint="eastAsia" w:ascii="宋体" w:hAnsi="宋体" w:cs="宋体"/>
          <w:b/>
          <w:bCs/>
          <w:sz w:val="24"/>
          <w:szCs w:val="24"/>
        </w:rPr>
        <w:t>投标人须知前附表</w:t>
      </w:r>
    </w:p>
    <w:p w14:paraId="17E0EBB0">
      <w:pPr>
        <w:rPr>
          <w:rFonts w:hint="eastAsia" w:ascii="宋体" w:hAnsi="宋体" w:cs="宋体"/>
          <w:sz w:val="21"/>
          <w:szCs w:val="21"/>
        </w:rPr>
      </w:pPr>
    </w:p>
    <w:tbl>
      <w:tblPr>
        <w:tblStyle w:val="15"/>
        <w:tblW w:w="97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3"/>
        <w:gridCol w:w="8676"/>
      </w:tblGrid>
      <w:tr w14:paraId="6A81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83" w:type="dxa"/>
            <w:vAlign w:val="center"/>
          </w:tcPr>
          <w:p w14:paraId="2ABE855F">
            <w:pPr>
              <w:jc w:val="center"/>
              <w:rPr>
                <w:rFonts w:hint="eastAsia" w:ascii="宋体" w:hAnsi="宋体" w:cs="宋体"/>
                <w:b/>
                <w:bCs/>
                <w:kern w:val="2"/>
                <w:sz w:val="21"/>
                <w:szCs w:val="21"/>
              </w:rPr>
            </w:pPr>
            <w:r>
              <w:rPr>
                <w:rFonts w:hint="eastAsia" w:ascii="宋体" w:hAnsi="宋体" w:cs="宋体"/>
                <w:b/>
                <w:bCs/>
                <w:sz w:val="21"/>
                <w:szCs w:val="21"/>
              </w:rPr>
              <w:t>序号</w:t>
            </w:r>
          </w:p>
        </w:tc>
        <w:tc>
          <w:tcPr>
            <w:tcW w:w="8676" w:type="dxa"/>
            <w:vAlign w:val="center"/>
          </w:tcPr>
          <w:p w14:paraId="6A0F5D75">
            <w:pPr>
              <w:jc w:val="center"/>
              <w:rPr>
                <w:rFonts w:hint="eastAsia" w:ascii="宋体" w:hAnsi="宋体" w:cs="宋体"/>
                <w:b/>
                <w:bCs/>
                <w:kern w:val="2"/>
                <w:sz w:val="21"/>
                <w:szCs w:val="21"/>
              </w:rPr>
            </w:pPr>
            <w:r>
              <w:rPr>
                <w:rFonts w:hint="eastAsia" w:ascii="宋体" w:hAnsi="宋体" w:cs="宋体"/>
                <w:b/>
                <w:bCs/>
                <w:sz w:val="21"/>
                <w:szCs w:val="21"/>
              </w:rPr>
              <w:t>内容</w:t>
            </w:r>
          </w:p>
        </w:tc>
      </w:tr>
      <w:tr w14:paraId="06CDD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83" w:type="dxa"/>
            <w:vAlign w:val="center"/>
          </w:tcPr>
          <w:p w14:paraId="7D118AF8">
            <w:pPr>
              <w:jc w:val="center"/>
              <w:rPr>
                <w:rFonts w:hint="eastAsia" w:ascii="宋体" w:hAnsi="宋体" w:cs="宋体"/>
                <w:kern w:val="2"/>
                <w:sz w:val="21"/>
                <w:szCs w:val="21"/>
              </w:rPr>
            </w:pPr>
            <w:r>
              <w:rPr>
                <w:rFonts w:hint="eastAsia" w:ascii="宋体" w:hAnsi="宋体" w:cs="宋体"/>
                <w:sz w:val="21"/>
                <w:szCs w:val="21"/>
              </w:rPr>
              <w:t>1</w:t>
            </w:r>
          </w:p>
        </w:tc>
        <w:tc>
          <w:tcPr>
            <w:tcW w:w="8676" w:type="dxa"/>
            <w:vAlign w:val="center"/>
          </w:tcPr>
          <w:p w14:paraId="250D3598">
            <w:pPr>
              <w:rPr>
                <w:rFonts w:hint="eastAsia" w:ascii="宋体" w:hAnsi="宋体" w:cs="宋体"/>
                <w:kern w:val="2"/>
                <w:sz w:val="21"/>
                <w:szCs w:val="21"/>
              </w:rPr>
            </w:pPr>
            <w:r>
              <w:rPr>
                <w:rFonts w:hint="eastAsia" w:ascii="宋体" w:hAnsi="宋体" w:cs="宋体"/>
                <w:sz w:val="21"/>
                <w:szCs w:val="21"/>
              </w:rPr>
              <w:t>项目名称：遂平县瑾瑜食品有限公司氨系统冷源增容移机招标</w:t>
            </w:r>
          </w:p>
        </w:tc>
      </w:tr>
      <w:tr w14:paraId="3103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83" w:type="dxa"/>
            <w:vAlign w:val="center"/>
          </w:tcPr>
          <w:p w14:paraId="21F63BAD">
            <w:pPr>
              <w:jc w:val="center"/>
              <w:rPr>
                <w:rFonts w:hint="eastAsia" w:ascii="宋体" w:hAnsi="宋体" w:cs="宋体"/>
                <w:sz w:val="21"/>
                <w:szCs w:val="21"/>
              </w:rPr>
            </w:pPr>
            <w:r>
              <w:rPr>
                <w:rFonts w:hint="eastAsia" w:ascii="宋体" w:hAnsi="宋体" w:cs="宋体"/>
                <w:sz w:val="21"/>
                <w:szCs w:val="21"/>
              </w:rPr>
              <w:t>2</w:t>
            </w:r>
          </w:p>
        </w:tc>
        <w:tc>
          <w:tcPr>
            <w:tcW w:w="8676" w:type="dxa"/>
            <w:vAlign w:val="center"/>
          </w:tcPr>
          <w:p w14:paraId="7E5C2BA5">
            <w:pPr>
              <w:rPr>
                <w:rFonts w:hint="eastAsia" w:ascii="宋体" w:hAnsi="宋体" w:cs="宋体"/>
                <w:sz w:val="21"/>
                <w:szCs w:val="21"/>
              </w:rPr>
            </w:pPr>
            <w:r>
              <w:rPr>
                <w:rFonts w:hint="eastAsia" w:ascii="宋体" w:hAnsi="宋体" w:cs="宋体"/>
                <w:sz w:val="21"/>
                <w:szCs w:val="21"/>
              </w:rPr>
              <w:t>招标文件编号：思念招标[20</w:t>
            </w:r>
            <w:r>
              <w:rPr>
                <w:rFonts w:ascii="宋体" w:hAnsi="宋体" w:cs="宋体"/>
                <w:sz w:val="21"/>
                <w:szCs w:val="21"/>
              </w:rPr>
              <w:t>26</w:t>
            </w:r>
            <w:r>
              <w:rPr>
                <w:rFonts w:hint="eastAsia" w:ascii="宋体" w:hAnsi="宋体" w:cs="宋体"/>
                <w:sz w:val="21"/>
                <w:szCs w:val="21"/>
              </w:rPr>
              <w:t>]第76号</w:t>
            </w:r>
          </w:p>
        </w:tc>
      </w:tr>
      <w:tr w14:paraId="79053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exact"/>
        </w:trPr>
        <w:tc>
          <w:tcPr>
            <w:tcW w:w="1083" w:type="dxa"/>
            <w:vAlign w:val="center"/>
          </w:tcPr>
          <w:p w14:paraId="655236B6">
            <w:pPr>
              <w:jc w:val="center"/>
              <w:rPr>
                <w:rFonts w:hint="eastAsia" w:ascii="宋体" w:hAnsi="宋体" w:cs="宋体"/>
                <w:sz w:val="21"/>
                <w:szCs w:val="21"/>
              </w:rPr>
            </w:pPr>
            <w:r>
              <w:rPr>
                <w:rFonts w:hint="eastAsia" w:ascii="宋体" w:hAnsi="宋体" w:cs="宋体"/>
                <w:sz w:val="21"/>
                <w:szCs w:val="21"/>
              </w:rPr>
              <w:t>3</w:t>
            </w:r>
          </w:p>
        </w:tc>
        <w:tc>
          <w:tcPr>
            <w:tcW w:w="8676" w:type="dxa"/>
            <w:vAlign w:val="center"/>
          </w:tcPr>
          <w:p w14:paraId="1E09CCDF">
            <w:pPr>
              <w:rPr>
                <w:rFonts w:hint="eastAsia" w:ascii="宋体" w:hAnsi="宋体" w:cs="宋体"/>
                <w:sz w:val="21"/>
                <w:szCs w:val="21"/>
              </w:rPr>
            </w:pPr>
            <w:r>
              <w:rPr>
                <w:rFonts w:hint="eastAsia" w:ascii="宋体" w:hAnsi="宋体" w:cs="宋体"/>
                <w:sz w:val="21"/>
                <w:szCs w:val="21"/>
              </w:rPr>
              <w:t>招标方：思念食品有限公司（最终合同签订主体：思念食品有限公司或其关联公司，包括但不限于：思念食品科技(海南)有限公司、天津思念销售有限公司、思念食品(河南)有限公司、四川思念食品有限公司、思念(江苏)食品经营有限公司等）</w:t>
            </w:r>
          </w:p>
        </w:tc>
      </w:tr>
      <w:tr w14:paraId="69DD6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83" w:type="dxa"/>
            <w:vAlign w:val="center"/>
          </w:tcPr>
          <w:p w14:paraId="583FE37A">
            <w:pPr>
              <w:jc w:val="center"/>
              <w:rPr>
                <w:rFonts w:hint="eastAsia" w:ascii="宋体" w:hAnsi="宋体" w:cs="宋体"/>
                <w:sz w:val="21"/>
                <w:szCs w:val="21"/>
              </w:rPr>
            </w:pPr>
            <w:r>
              <w:rPr>
                <w:rFonts w:hint="eastAsia" w:ascii="宋体" w:hAnsi="宋体" w:cs="宋体"/>
                <w:sz w:val="21"/>
                <w:szCs w:val="21"/>
              </w:rPr>
              <w:t>4</w:t>
            </w:r>
          </w:p>
        </w:tc>
        <w:tc>
          <w:tcPr>
            <w:tcW w:w="8676" w:type="dxa"/>
            <w:vAlign w:val="center"/>
          </w:tcPr>
          <w:p w14:paraId="2606B1BD">
            <w:pPr>
              <w:rPr>
                <w:rFonts w:hint="eastAsia" w:ascii="宋体" w:hAnsi="宋体" w:cs="宋体"/>
                <w:sz w:val="21"/>
                <w:szCs w:val="21"/>
              </w:rPr>
            </w:pPr>
            <w:r>
              <w:rPr>
                <w:rFonts w:hint="eastAsia" w:ascii="宋体" w:hAnsi="宋体" w:cs="宋体"/>
                <w:sz w:val="21"/>
                <w:szCs w:val="21"/>
              </w:rPr>
              <w:t>投标文件须以中文编写</w:t>
            </w:r>
          </w:p>
        </w:tc>
      </w:tr>
      <w:tr w14:paraId="630AC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83" w:type="dxa"/>
            <w:vAlign w:val="center"/>
          </w:tcPr>
          <w:p w14:paraId="6CE4BF33">
            <w:pPr>
              <w:jc w:val="center"/>
              <w:rPr>
                <w:rFonts w:hint="eastAsia" w:ascii="宋体" w:hAnsi="宋体" w:cs="宋体"/>
                <w:sz w:val="21"/>
                <w:szCs w:val="21"/>
              </w:rPr>
            </w:pPr>
            <w:r>
              <w:rPr>
                <w:rFonts w:hint="eastAsia" w:ascii="宋体" w:hAnsi="宋体" w:cs="宋体"/>
                <w:sz w:val="21"/>
                <w:szCs w:val="21"/>
              </w:rPr>
              <w:t>5</w:t>
            </w:r>
          </w:p>
        </w:tc>
        <w:tc>
          <w:tcPr>
            <w:tcW w:w="8676" w:type="dxa"/>
            <w:vAlign w:val="center"/>
          </w:tcPr>
          <w:p w14:paraId="1E8803E9">
            <w:pPr>
              <w:rPr>
                <w:rFonts w:hint="eastAsia" w:ascii="宋体" w:hAnsi="宋体" w:cs="宋体"/>
                <w:sz w:val="21"/>
                <w:szCs w:val="21"/>
              </w:rPr>
            </w:pPr>
            <w:r>
              <w:rPr>
                <w:rFonts w:hint="eastAsia" w:ascii="宋体" w:hAnsi="宋体" w:cs="宋体"/>
                <w:sz w:val="21"/>
                <w:szCs w:val="21"/>
              </w:rPr>
              <w:t>标书领取：招标方对投标方报名审核通过后，发送电子版标书至投标方邮箱/微信</w:t>
            </w:r>
          </w:p>
        </w:tc>
      </w:tr>
      <w:tr w14:paraId="5353F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83" w:type="dxa"/>
            <w:vAlign w:val="center"/>
          </w:tcPr>
          <w:p w14:paraId="2FD59547">
            <w:pPr>
              <w:jc w:val="center"/>
              <w:rPr>
                <w:rFonts w:hint="eastAsia" w:ascii="宋体" w:hAnsi="宋体" w:cs="宋体"/>
                <w:sz w:val="21"/>
                <w:szCs w:val="21"/>
              </w:rPr>
            </w:pPr>
            <w:r>
              <w:rPr>
                <w:rFonts w:hint="eastAsia" w:ascii="宋体" w:hAnsi="宋体" w:cs="宋体"/>
                <w:sz w:val="21"/>
                <w:szCs w:val="21"/>
              </w:rPr>
              <w:t>6</w:t>
            </w:r>
          </w:p>
        </w:tc>
        <w:tc>
          <w:tcPr>
            <w:tcW w:w="8676" w:type="dxa"/>
            <w:vAlign w:val="center"/>
          </w:tcPr>
          <w:p w14:paraId="2FCC7FEA">
            <w:pPr>
              <w:rPr>
                <w:rFonts w:hint="eastAsia" w:ascii="宋体" w:hAnsi="宋体" w:cs="宋体"/>
                <w:color w:val="000000"/>
                <w:sz w:val="21"/>
                <w:szCs w:val="21"/>
              </w:rPr>
            </w:pPr>
            <w:r>
              <w:rPr>
                <w:rFonts w:hint="eastAsia" w:ascii="宋体" w:hAnsi="宋体" w:cs="宋体"/>
                <w:color w:val="000000"/>
                <w:sz w:val="21"/>
                <w:szCs w:val="21"/>
              </w:rPr>
              <w:t>报名截止日期： 2026年6月23日17:00</w:t>
            </w:r>
          </w:p>
        </w:tc>
      </w:tr>
      <w:tr w14:paraId="31DC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83" w:type="dxa"/>
            <w:vAlign w:val="center"/>
          </w:tcPr>
          <w:p w14:paraId="56B31CE5">
            <w:pPr>
              <w:jc w:val="center"/>
              <w:rPr>
                <w:rFonts w:hint="eastAsia" w:ascii="宋体" w:hAnsi="宋体" w:cs="宋体"/>
                <w:sz w:val="21"/>
                <w:szCs w:val="21"/>
              </w:rPr>
            </w:pPr>
            <w:r>
              <w:rPr>
                <w:rFonts w:hint="eastAsia" w:ascii="宋体" w:hAnsi="宋体" w:cs="宋体"/>
                <w:sz w:val="21"/>
                <w:szCs w:val="21"/>
              </w:rPr>
              <w:t>7</w:t>
            </w:r>
          </w:p>
        </w:tc>
        <w:tc>
          <w:tcPr>
            <w:tcW w:w="8676" w:type="dxa"/>
            <w:vAlign w:val="center"/>
          </w:tcPr>
          <w:p w14:paraId="306871A2">
            <w:pPr>
              <w:rPr>
                <w:rFonts w:hint="eastAsia" w:ascii="宋体" w:hAnsi="宋体" w:cs="宋体"/>
                <w:color w:val="000000"/>
                <w:sz w:val="21"/>
                <w:szCs w:val="21"/>
              </w:rPr>
            </w:pPr>
            <w:r>
              <w:rPr>
                <w:rFonts w:hint="eastAsia" w:ascii="宋体" w:hAnsi="宋体" w:cs="宋体"/>
                <w:color w:val="000000"/>
                <w:sz w:val="21"/>
                <w:szCs w:val="21"/>
              </w:rPr>
              <w:t>开标日期： 2026年6月24日上午9:</w:t>
            </w:r>
            <w:r>
              <w:rPr>
                <w:rFonts w:ascii="宋体" w:hAnsi="宋体" w:cs="宋体"/>
                <w:color w:val="000000"/>
                <w:sz w:val="21"/>
                <w:szCs w:val="21"/>
              </w:rPr>
              <w:t>00</w:t>
            </w:r>
          </w:p>
        </w:tc>
      </w:tr>
      <w:tr w14:paraId="7692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83" w:type="dxa"/>
            <w:vAlign w:val="center"/>
          </w:tcPr>
          <w:p w14:paraId="629EA157">
            <w:pPr>
              <w:jc w:val="center"/>
              <w:rPr>
                <w:rFonts w:hint="eastAsia" w:ascii="宋体" w:hAnsi="宋体" w:cs="宋体"/>
                <w:sz w:val="21"/>
                <w:szCs w:val="21"/>
              </w:rPr>
            </w:pPr>
            <w:r>
              <w:rPr>
                <w:rFonts w:hint="eastAsia" w:ascii="宋体" w:hAnsi="宋体" w:cs="宋体"/>
                <w:sz w:val="21"/>
                <w:szCs w:val="21"/>
              </w:rPr>
              <w:t>8</w:t>
            </w:r>
          </w:p>
        </w:tc>
        <w:tc>
          <w:tcPr>
            <w:tcW w:w="8676" w:type="dxa"/>
            <w:vAlign w:val="center"/>
          </w:tcPr>
          <w:p w14:paraId="7AA066BC">
            <w:pPr>
              <w:rPr>
                <w:rFonts w:hint="eastAsia" w:ascii="宋体" w:hAnsi="宋体" w:cs="宋体"/>
                <w:kern w:val="2"/>
                <w:sz w:val="21"/>
                <w:szCs w:val="21"/>
              </w:rPr>
            </w:pPr>
            <w:r>
              <w:rPr>
                <w:rFonts w:hint="eastAsia" w:ascii="宋体" w:hAnsi="宋体" w:cs="宋体"/>
                <w:sz w:val="21"/>
                <w:szCs w:val="21"/>
              </w:rPr>
              <w:t>开标地点：</w:t>
            </w:r>
            <w:r>
              <w:rPr>
                <w:rFonts w:hint="eastAsia" w:ascii="宋体" w:hAnsi="宋体" w:cs="宋体"/>
                <w:sz w:val="21"/>
                <w:szCs w:val="21"/>
                <w:highlight w:val="yellow"/>
              </w:rPr>
              <w:t>郑州市惠济区英才街13号</w:t>
            </w:r>
          </w:p>
        </w:tc>
      </w:tr>
      <w:tr w14:paraId="44A7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83" w:type="dxa"/>
            <w:vAlign w:val="center"/>
          </w:tcPr>
          <w:p w14:paraId="631D2F58">
            <w:pPr>
              <w:jc w:val="center"/>
              <w:rPr>
                <w:rFonts w:hint="eastAsia" w:ascii="宋体" w:hAnsi="宋体" w:cs="宋体"/>
                <w:sz w:val="21"/>
                <w:szCs w:val="21"/>
              </w:rPr>
            </w:pPr>
            <w:r>
              <w:rPr>
                <w:rFonts w:hint="eastAsia" w:ascii="宋体" w:hAnsi="宋体" w:cs="宋体"/>
                <w:sz w:val="21"/>
                <w:szCs w:val="21"/>
              </w:rPr>
              <w:t>9</w:t>
            </w:r>
          </w:p>
        </w:tc>
        <w:tc>
          <w:tcPr>
            <w:tcW w:w="8676" w:type="dxa"/>
            <w:vAlign w:val="center"/>
          </w:tcPr>
          <w:p w14:paraId="71AE3EAC">
            <w:pPr>
              <w:rPr>
                <w:rFonts w:hint="eastAsia" w:ascii="宋体" w:hAnsi="宋体" w:cs="宋体"/>
                <w:kern w:val="2"/>
                <w:sz w:val="21"/>
                <w:szCs w:val="21"/>
              </w:rPr>
            </w:pPr>
            <w:r>
              <w:rPr>
                <w:rFonts w:hint="eastAsia" w:ascii="宋体" w:hAnsi="宋体" w:cs="宋体"/>
                <w:sz w:val="21"/>
                <w:szCs w:val="21"/>
              </w:rPr>
              <w:t>投标结果公布方式：以邮箱/电话/微信形式通知</w:t>
            </w:r>
          </w:p>
        </w:tc>
      </w:tr>
      <w:tr w14:paraId="76FA3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exact"/>
        </w:trPr>
        <w:tc>
          <w:tcPr>
            <w:tcW w:w="1083" w:type="dxa"/>
            <w:vAlign w:val="center"/>
          </w:tcPr>
          <w:p w14:paraId="6091F521">
            <w:pPr>
              <w:jc w:val="center"/>
              <w:rPr>
                <w:rFonts w:hint="eastAsia" w:ascii="宋体" w:hAnsi="宋体" w:cs="宋体"/>
                <w:sz w:val="21"/>
                <w:szCs w:val="21"/>
              </w:rPr>
            </w:pPr>
            <w:r>
              <w:rPr>
                <w:rFonts w:hint="eastAsia" w:ascii="宋体" w:hAnsi="宋体" w:cs="宋体"/>
                <w:sz w:val="21"/>
                <w:szCs w:val="21"/>
              </w:rPr>
              <w:t>10</w:t>
            </w:r>
          </w:p>
        </w:tc>
        <w:tc>
          <w:tcPr>
            <w:tcW w:w="8676" w:type="dxa"/>
            <w:vAlign w:val="center"/>
          </w:tcPr>
          <w:p w14:paraId="5A75DF09">
            <w:pPr>
              <w:rPr>
                <w:rFonts w:hint="eastAsia" w:ascii="宋体" w:hAnsi="宋体" w:cs="宋体"/>
                <w:sz w:val="21"/>
                <w:szCs w:val="21"/>
              </w:rPr>
            </w:pPr>
            <w:r>
              <w:rPr>
                <w:rFonts w:hint="eastAsia" w:ascii="宋体" w:hAnsi="宋体" w:cs="宋体"/>
                <w:sz w:val="21"/>
                <w:szCs w:val="21"/>
              </w:rPr>
              <w:t>标书资料：密封袋装纸质版现场递交</w:t>
            </w:r>
          </w:p>
        </w:tc>
      </w:tr>
      <w:tr w14:paraId="0F164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83" w:type="dxa"/>
            <w:vAlign w:val="center"/>
          </w:tcPr>
          <w:p w14:paraId="778D66C1">
            <w:pPr>
              <w:jc w:val="center"/>
              <w:rPr>
                <w:rFonts w:hint="eastAsia" w:ascii="宋体" w:hAnsi="宋体" w:cs="宋体"/>
                <w:sz w:val="21"/>
                <w:szCs w:val="21"/>
              </w:rPr>
            </w:pPr>
            <w:r>
              <w:rPr>
                <w:rFonts w:hint="eastAsia" w:ascii="宋体" w:hAnsi="宋体" w:cs="宋体"/>
                <w:sz w:val="21"/>
                <w:szCs w:val="21"/>
              </w:rPr>
              <w:t>11</w:t>
            </w:r>
          </w:p>
        </w:tc>
        <w:tc>
          <w:tcPr>
            <w:tcW w:w="8676" w:type="dxa"/>
            <w:vAlign w:val="center"/>
          </w:tcPr>
          <w:p w14:paraId="06ABFD04">
            <w:pPr>
              <w:rPr>
                <w:rFonts w:hint="eastAsia" w:ascii="宋体" w:hAnsi="宋体" w:cs="宋体"/>
                <w:sz w:val="21"/>
                <w:szCs w:val="21"/>
              </w:rPr>
            </w:pPr>
            <w:r>
              <w:rPr>
                <w:rFonts w:hint="eastAsia" w:ascii="宋体" w:hAnsi="宋体" w:cs="宋体"/>
                <w:sz w:val="21"/>
                <w:szCs w:val="21"/>
              </w:rPr>
              <w:t>报价单单独密封，如混淆当场作废</w:t>
            </w:r>
          </w:p>
        </w:tc>
      </w:tr>
      <w:tr w14:paraId="40FCD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83" w:type="dxa"/>
            <w:vAlign w:val="center"/>
          </w:tcPr>
          <w:p w14:paraId="6402A767">
            <w:pPr>
              <w:jc w:val="center"/>
              <w:rPr>
                <w:rFonts w:hint="eastAsia" w:ascii="宋体" w:hAnsi="宋体" w:cs="宋体"/>
                <w:sz w:val="21"/>
                <w:szCs w:val="21"/>
              </w:rPr>
            </w:pPr>
            <w:r>
              <w:rPr>
                <w:rFonts w:hint="eastAsia" w:ascii="宋体" w:hAnsi="宋体" w:cs="宋体"/>
                <w:sz w:val="21"/>
                <w:szCs w:val="21"/>
              </w:rPr>
              <w:t>12</w:t>
            </w:r>
          </w:p>
        </w:tc>
        <w:tc>
          <w:tcPr>
            <w:tcW w:w="8676" w:type="dxa"/>
            <w:vAlign w:val="center"/>
          </w:tcPr>
          <w:p w14:paraId="54DD185F">
            <w:pPr>
              <w:rPr>
                <w:rFonts w:hint="eastAsia" w:ascii="宋体" w:hAnsi="宋体" w:cs="宋体"/>
                <w:sz w:val="21"/>
                <w:szCs w:val="21"/>
              </w:rPr>
            </w:pPr>
            <w:r>
              <w:rPr>
                <w:rFonts w:hint="eastAsia" w:ascii="宋体" w:hAnsi="宋体" w:cs="宋体"/>
                <w:sz w:val="21"/>
                <w:szCs w:val="21"/>
              </w:rPr>
              <w:t>投标币种：人民币</w:t>
            </w:r>
          </w:p>
        </w:tc>
      </w:tr>
      <w:tr w14:paraId="2313C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trPr>
        <w:tc>
          <w:tcPr>
            <w:tcW w:w="1083" w:type="dxa"/>
            <w:vAlign w:val="center"/>
          </w:tcPr>
          <w:p w14:paraId="3F766DFE">
            <w:pPr>
              <w:jc w:val="center"/>
              <w:rPr>
                <w:rFonts w:hint="eastAsia" w:ascii="宋体" w:hAnsi="宋体" w:cs="宋体"/>
                <w:sz w:val="21"/>
                <w:szCs w:val="21"/>
              </w:rPr>
            </w:pPr>
            <w:r>
              <w:rPr>
                <w:rFonts w:hint="eastAsia" w:ascii="宋体" w:hAnsi="宋体" w:cs="宋体"/>
                <w:sz w:val="21"/>
                <w:szCs w:val="21"/>
              </w:rPr>
              <w:t>13</w:t>
            </w:r>
          </w:p>
        </w:tc>
        <w:tc>
          <w:tcPr>
            <w:tcW w:w="8676" w:type="dxa"/>
            <w:vAlign w:val="center"/>
          </w:tcPr>
          <w:p w14:paraId="3D6692A0">
            <w:pPr>
              <w:rPr>
                <w:rFonts w:hint="eastAsia" w:ascii="宋体" w:hAnsi="宋体" w:cs="宋体"/>
                <w:sz w:val="21"/>
                <w:szCs w:val="21"/>
              </w:rPr>
            </w:pPr>
            <w:r>
              <w:rPr>
                <w:rFonts w:hint="eastAsia" w:ascii="宋体" w:hAnsi="宋体" w:cs="宋体"/>
                <w:sz w:val="21"/>
                <w:szCs w:val="21"/>
              </w:rPr>
              <w:t>投标保证金：</w:t>
            </w:r>
            <w:r>
              <w:rPr>
                <w:rFonts w:hint="eastAsia" w:ascii="宋体" w:hAnsi="宋体" w:cs="宋体"/>
                <w:sz w:val="21"/>
                <w:szCs w:val="21"/>
                <w:highlight w:val="yellow"/>
              </w:rPr>
              <w:t>人民币10000元整（壹万元整）</w:t>
            </w:r>
          </w:p>
        </w:tc>
      </w:tr>
      <w:tr w14:paraId="02F2B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exact"/>
        </w:trPr>
        <w:tc>
          <w:tcPr>
            <w:tcW w:w="1083" w:type="dxa"/>
            <w:vAlign w:val="center"/>
          </w:tcPr>
          <w:p w14:paraId="48B08703">
            <w:pPr>
              <w:jc w:val="center"/>
              <w:rPr>
                <w:rFonts w:hint="eastAsia" w:ascii="宋体" w:hAnsi="宋体" w:cs="宋体"/>
                <w:sz w:val="21"/>
                <w:szCs w:val="21"/>
              </w:rPr>
            </w:pPr>
            <w:r>
              <w:rPr>
                <w:rFonts w:hint="eastAsia" w:ascii="宋体" w:hAnsi="宋体" w:cs="宋体"/>
                <w:sz w:val="21"/>
                <w:szCs w:val="21"/>
              </w:rPr>
              <w:t>14</w:t>
            </w:r>
          </w:p>
        </w:tc>
        <w:tc>
          <w:tcPr>
            <w:tcW w:w="8676" w:type="dxa"/>
            <w:vAlign w:val="center"/>
          </w:tcPr>
          <w:p w14:paraId="37384D24">
            <w:pPr>
              <w:snapToGrid w:val="0"/>
              <w:spacing w:line="360" w:lineRule="auto"/>
              <w:rPr>
                <w:rFonts w:hint="eastAsia" w:ascii="宋体" w:hAnsi="宋体" w:cs="宋体"/>
                <w:sz w:val="21"/>
                <w:szCs w:val="21"/>
              </w:rPr>
            </w:pPr>
            <w:r>
              <w:rPr>
                <w:rFonts w:hint="eastAsia" w:ascii="宋体" w:hAnsi="宋体" w:cs="宋体"/>
                <w:sz w:val="21"/>
                <w:szCs w:val="21"/>
              </w:rPr>
              <w:t>标书资料包含：</w:t>
            </w:r>
          </w:p>
          <w:p w14:paraId="05F429C2">
            <w:pPr>
              <w:snapToGrid w:val="0"/>
              <w:spacing w:line="360" w:lineRule="auto"/>
              <w:rPr>
                <w:rFonts w:hint="eastAsia" w:ascii="宋体" w:hAnsi="宋体" w:cs="宋体"/>
                <w:sz w:val="21"/>
                <w:szCs w:val="21"/>
              </w:rPr>
            </w:pPr>
            <w:r>
              <w:rPr>
                <w:rFonts w:hint="eastAsia" w:ascii="宋体" w:hAnsi="宋体" w:cs="宋体"/>
                <w:sz w:val="21"/>
                <w:szCs w:val="21"/>
              </w:rPr>
              <w:t>投标函、法定代表人身份证明书、投标文件签署授权委托书、投标保证金缴纳证明、报价函、营业执照等资质证明，其他详见第二章《投标文件格式》</w:t>
            </w:r>
          </w:p>
        </w:tc>
      </w:tr>
    </w:tbl>
    <w:p w14:paraId="3535C60D">
      <w:pPr>
        <w:pStyle w:val="2"/>
        <w:numPr>
          <w:ilvl w:val="0"/>
          <w:numId w:val="0"/>
        </w:numPr>
        <w:spacing w:before="120" w:beforeLines="50" w:line="360" w:lineRule="auto"/>
        <w:rPr>
          <w:rFonts w:ascii="宋体" w:eastAsia="宋体"/>
          <w:b/>
          <w:bCs/>
          <w:sz w:val="24"/>
          <w:szCs w:val="24"/>
        </w:rPr>
      </w:pPr>
      <w:r>
        <w:rPr>
          <w:rFonts w:ascii="宋体" w:eastAsia="宋体"/>
          <w:b/>
          <w:bCs/>
          <w:sz w:val="24"/>
          <w:szCs w:val="24"/>
        </w:rPr>
        <w:br w:type="page"/>
      </w:r>
      <w:r>
        <w:rPr>
          <w:rFonts w:hint="eastAsia" w:ascii="宋体" w:eastAsia="宋体"/>
          <w:b/>
          <w:bCs/>
          <w:sz w:val="24"/>
          <w:szCs w:val="24"/>
        </w:rPr>
        <w:t>第一章  招标公告</w:t>
      </w:r>
      <w:bookmarkEnd w:id="9"/>
    </w:p>
    <w:p w14:paraId="6AFBB4DE">
      <w:pPr>
        <w:spacing w:line="360" w:lineRule="auto"/>
        <w:ind w:firstLine="420" w:firstLineChars="200"/>
        <w:jc w:val="both"/>
        <w:rPr>
          <w:rFonts w:hint="eastAsia" w:ascii="宋体" w:hAnsi="宋体"/>
          <w:sz w:val="21"/>
          <w:szCs w:val="21"/>
        </w:rPr>
      </w:pPr>
      <w:r>
        <w:rPr>
          <w:rFonts w:hint="eastAsia" w:ascii="宋体" w:hAnsi="宋体"/>
          <w:sz w:val="21"/>
          <w:szCs w:val="21"/>
        </w:rPr>
        <w:t>思念食品有限公司招标部根据公司招标的要求，就</w:t>
      </w:r>
      <w:r>
        <w:rPr>
          <w:rFonts w:hint="eastAsia" w:ascii="宋体" w:hAnsi="宋体"/>
          <w:b/>
          <w:bCs/>
          <w:sz w:val="21"/>
          <w:szCs w:val="21"/>
          <w:u w:val="single"/>
        </w:rPr>
        <w:t>遂平县瑾瑜食品有限公司氨系统冷源增容移机招标</w:t>
      </w:r>
      <w:r>
        <w:rPr>
          <w:rFonts w:hint="eastAsia" w:ascii="宋体" w:hAnsi="宋体"/>
          <w:sz w:val="21"/>
          <w:szCs w:val="21"/>
        </w:rPr>
        <w:t>进行公开招标，现将招标事宜通知如下：</w:t>
      </w:r>
    </w:p>
    <w:p w14:paraId="555698D1">
      <w:pPr>
        <w:spacing w:line="360" w:lineRule="auto"/>
        <w:ind w:firstLine="422" w:firstLineChars="200"/>
        <w:jc w:val="both"/>
        <w:rPr>
          <w:rFonts w:hint="eastAsia" w:ascii="宋体" w:hAnsi="宋体"/>
          <w:bCs/>
          <w:color w:val="000000"/>
          <w:sz w:val="21"/>
          <w:szCs w:val="21"/>
        </w:rPr>
      </w:pPr>
      <w:r>
        <w:rPr>
          <w:rFonts w:hint="eastAsia" w:ascii="宋体" w:hAnsi="宋体"/>
          <w:b/>
          <w:color w:val="000000"/>
          <w:sz w:val="21"/>
          <w:szCs w:val="21"/>
        </w:rPr>
        <w:t>一、招标内容及要求</w:t>
      </w:r>
      <w:r>
        <w:rPr>
          <w:rFonts w:hint="eastAsia" w:ascii="宋体" w:hAnsi="宋体"/>
          <w:b/>
          <w:sz w:val="21"/>
          <w:szCs w:val="21"/>
        </w:rPr>
        <w:t>：</w:t>
      </w:r>
    </w:p>
    <w:p w14:paraId="7631609D">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1、项目名称：遂平县瑾瑜食品有限公司氨系统冷源增容移机招标；</w:t>
      </w:r>
    </w:p>
    <w:p w14:paraId="5F546D4E">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2、地点：河南遂平</w:t>
      </w:r>
    </w:p>
    <w:p w14:paraId="44F2365B">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3、标段划分：项目共分为1个标段，遂平县瑾瑜食品有限公司氨系统冷源增容移机招标</w:t>
      </w:r>
    </w:p>
    <w:p w14:paraId="1B1C25EA">
      <w:pPr>
        <w:spacing w:line="360" w:lineRule="auto"/>
        <w:ind w:firstLine="420" w:firstLineChars="200"/>
        <w:jc w:val="both"/>
        <w:rPr>
          <w:rFonts w:hint="eastAsia" w:ascii="宋体" w:hAnsi="宋体"/>
          <w:bCs/>
          <w:color w:val="000000"/>
          <w:sz w:val="21"/>
          <w:szCs w:val="21"/>
        </w:rPr>
      </w:pPr>
      <w:r>
        <w:rPr>
          <w:rFonts w:ascii="宋体" w:hAnsi="宋体"/>
          <w:bCs/>
          <w:color w:val="000000"/>
          <w:sz w:val="21"/>
          <w:szCs w:val="21"/>
        </w:rPr>
        <w:t>4</w:t>
      </w:r>
      <w:r>
        <w:rPr>
          <w:rFonts w:hint="eastAsia" w:ascii="宋体" w:hAnsi="宋体"/>
          <w:bCs/>
          <w:color w:val="000000"/>
          <w:sz w:val="21"/>
          <w:szCs w:val="21"/>
        </w:rPr>
        <w:t>、项目概括：</w:t>
      </w:r>
    </w:p>
    <w:p w14:paraId="31F1BCE9">
      <w:pPr>
        <w:spacing w:line="360" w:lineRule="auto"/>
        <w:ind w:firstLine="420" w:firstLineChars="200"/>
        <w:jc w:val="both"/>
        <w:rPr>
          <w:rFonts w:ascii="宋体" w:hAnsi="宋体"/>
          <w:bCs/>
          <w:color w:val="000000"/>
          <w:sz w:val="21"/>
          <w:szCs w:val="21"/>
        </w:rPr>
      </w:pPr>
      <w:r>
        <w:rPr>
          <w:rFonts w:hint="eastAsia" w:ascii="宋体" w:hAnsi="宋体"/>
          <w:bCs/>
          <w:color w:val="000000"/>
          <w:sz w:val="21"/>
          <w:szCs w:val="21"/>
        </w:rPr>
        <w:t>本项目是遂平县瑾瑜食品有限公司隧道氨系统冷源机组拆除，湖州机组对接现有系统安装、调试运行工程</w:t>
      </w:r>
    </w:p>
    <w:p w14:paraId="3F3479B7">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5、项目内容：</w:t>
      </w:r>
    </w:p>
    <w:p w14:paraId="5B2E2F2E">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5.1湖州机组转运，机组配电柜拆除转运；</w:t>
      </w:r>
    </w:p>
    <w:p w14:paraId="15D4DF6A">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5.2瑾瑜现有配套报废机组、电柜的拆除；</w:t>
      </w:r>
    </w:p>
    <w:p w14:paraId="228BA7F9">
      <w:pPr>
        <w:spacing w:line="360" w:lineRule="auto"/>
        <w:ind w:firstLine="420" w:firstLineChars="200"/>
        <w:jc w:val="both"/>
        <w:rPr>
          <w:rFonts w:ascii="宋体" w:hAnsi="宋体"/>
          <w:bCs/>
          <w:color w:val="000000"/>
          <w:sz w:val="21"/>
          <w:szCs w:val="21"/>
        </w:rPr>
      </w:pPr>
      <w:r>
        <w:rPr>
          <w:rFonts w:hint="eastAsia" w:ascii="宋体" w:hAnsi="宋体"/>
          <w:bCs/>
          <w:color w:val="000000"/>
          <w:sz w:val="21"/>
          <w:szCs w:val="21"/>
        </w:rPr>
        <w:t>5.3湖州机组转移遂平后制冷系统对接安装隧道系统的移机、安装；</w:t>
      </w:r>
    </w:p>
    <w:p w14:paraId="66E0DA73">
      <w:pPr>
        <w:spacing w:line="360" w:lineRule="auto"/>
        <w:ind w:firstLine="420" w:firstLineChars="200"/>
        <w:jc w:val="both"/>
        <w:rPr>
          <w:rFonts w:ascii="宋体" w:hAnsi="宋体"/>
          <w:bCs/>
          <w:color w:val="000000"/>
          <w:sz w:val="21"/>
          <w:szCs w:val="21"/>
        </w:rPr>
      </w:pPr>
      <w:r>
        <w:rPr>
          <w:rFonts w:hint="eastAsia" w:ascii="宋体" w:hAnsi="宋体"/>
          <w:bCs/>
          <w:color w:val="000000"/>
          <w:sz w:val="21"/>
          <w:szCs w:val="21"/>
        </w:rPr>
        <w:t>5.4满足机组运行需求的参数复核设计（虹吸罐），调整设备、材料的供货、安装与调试。</w:t>
      </w:r>
    </w:p>
    <w:p w14:paraId="43241695">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5.5包含制冷机组电源线安装接线。</w:t>
      </w:r>
    </w:p>
    <w:p w14:paraId="0DBEC114">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6、招标要求：</w:t>
      </w:r>
    </w:p>
    <w:p w14:paraId="6A01DA3B">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6.1项目依据：甲方的技术要求及投标方现场勘察，由投标方出具设计图纸及意见，</w:t>
      </w:r>
    </w:p>
    <w:p w14:paraId="641DEB96">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6.2招标要求：有本次招标采购项目的相应资质和经营范围及竣工案例，有能力提供本次招标移机项目及所要求的安装、调试及售后服务的供应商。</w:t>
      </w:r>
    </w:p>
    <w:p w14:paraId="12F859DC">
      <w:pPr>
        <w:spacing w:line="360" w:lineRule="auto"/>
        <w:ind w:firstLine="420" w:firstLineChars="200"/>
        <w:jc w:val="both"/>
        <w:rPr>
          <w:rFonts w:ascii="宋体" w:hAnsi="宋体"/>
          <w:bCs/>
          <w:color w:val="000000"/>
          <w:sz w:val="21"/>
          <w:szCs w:val="21"/>
        </w:rPr>
      </w:pPr>
      <w:r>
        <w:rPr>
          <w:rFonts w:hint="eastAsia" w:ascii="宋体" w:hAnsi="宋体"/>
          <w:bCs/>
          <w:color w:val="000000"/>
          <w:sz w:val="21"/>
          <w:szCs w:val="21"/>
        </w:rPr>
        <w:t>6.3资质要求：</w:t>
      </w:r>
      <w:bookmarkStart w:id="11" w:name="OLE_LINK1"/>
      <w:r>
        <w:rPr>
          <w:rFonts w:hint="eastAsia" w:ascii="宋体" w:hAnsi="宋体"/>
          <w:bCs/>
          <w:color w:val="000000"/>
          <w:sz w:val="21"/>
          <w:szCs w:val="21"/>
        </w:rPr>
        <w:t>具备机电安装三级、压力管道GC2及以上安装资质</w:t>
      </w:r>
      <w:bookmarkEnd w:id="11"/>
      <w:r>
        <w:rPr>
          <w:rFonts w:hint="eastAsia" w:ascii="宋体" w:hAnsi="宋体"/>
          <w:bCs/>
          <w:color w:val="000000"/>
          <w:sz w:val="21"/>
          <w:szCs w:val="21"/>
        </w:rPr>
        <w:t>。</w:t>
      </w:r>
    </w:p>
    <w:p w14:paraId="41D896B3">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6.4报价要求：包死价，有总报价及分项明细报价，报价范围涵盖项目的所有内容，施工过程中增项需经甲方同意。</w:t>
      </w:r>
    </w:p>
    <w:p w14:paraId="5EA966CE">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7、技术要求：</w:t>
      </w:r>
    </w:p>
    <w:p w14:paraId="23D9C76D">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7.1制冷系统：设计并复核现有虹吸罐冷却，更换新虹吸罐预留余量（10%-15%）确保氨机正常运行，满足系统运行的需要，投标方须出具各设备、设施的详细设计及选型说明书。</w:t>
      </w:r>
    </w:p>
    <w:p w14:paraId="3D5AE598">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7.2</w:t>
      </w:r>
      <w:r>
        <w:rPr>
          <w:rFonts w:hint="eastAsia"/>
        </w:rPr>
        <w:t xml:space="preserve"> </w:t>
      </w:r>
      <w:r>
        <w:rPr>
          <w:rFonts w:hint="eastAsia" w:ascii="宋体" w:hAnsi="宋体"/>
          <w:bCs/>
          <w:color w:val="000000"/>
          <w:sz w:val="21"/>
          <w:szCs w:val="21"/>
        </w:rPr>
        <w:t>制冷机组控制程序调试，管道对接。</w:t>
      </w:r>
    </w:p>
    <w:p w14:paraId="7193A803">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7.3</w:t>
      </w:r>
      <w:r>
        <w:rPr>
          <w:rFonts w:hint="eastAsia"/>
        </w:rPr>
        <w:t xml:space="preserve"> </w:t>
      </w:r>
      <w:r>
        <w:rPr>
          <w:rFonts w:hint="eastAsia" w:ascii="宋体" w:hAnsi="宋体"/>
          <w:bCs/>
          <w:color w:val="000000"/>
          <w:sz w:val="21"/>
          <w:szCs w:val="21"/>
        </w:rPr>
        <w:t>制冷机组采用湖州的是冰山螺杆机。：</w:t>
      </w:r>
    </w:p>
    <w:p w14:paraId="2052291C">
      <w:pPr>
        <w:spacing w:line="360" w:lineRule="auto"/>
        <w:ind w:firstLine="420" w:firstLineChars="200"/>
        <w:jc w:val="both"/>
        <w:rPr>
          <w:rFonts w:ascii="宋体" w:hAnsi="宋体"/>
          <w:bCs/>
          <w:color w:val="000000"/>
          <w:sz w:val="21"/>
          <w:szCs w:val="21"/>
        </w:rPr>
      </w:pPr>
      <w:r>
        <w:rPr>
          <w:rFonts w:hint="eastAsia" w:ascii="宋体" w:hAnsi="宋体"/>
          <w:bCs/>
          <w:color w:val="000000"/>
          <w:sz w:val="21"/>
          <w:szCs w:val="21"/>
        </w:rPr>
        <w:t>7.4制冷机组放置场地：瑾瑜机房机组拆除位置。</w:t>
      </w:r>
    </w:p>
    <w:p w14:paraId="69E7B58F">
      <w:pPr>
        <w:spacing w:line="360" w:lineRule="auto"/>
        <w:ind w:firstLine="420" w:firstLineChars="200"/>
        <w:jc w:val="both"/>
        <w:rPr>
          <w:rFonts w:ascii="宋体" w:hAnsi="宋体"/>
          <w:bCs/>
          <w:color w:val="000000"/>
          <w:sz w:val="21"/>
          <w:szCs w:val="21"/>
        </w:rPr>
      </w:pPr>
      <w:r>
        <w:rPr>
          <w:rFonts w:hint="eastAsia" w:ascii="宋体" w:hAnsi="宋体"/>
          <w:bCs/>
          <w:color w:val="000000"/>
          <w:sz w:val="21"/>
          <w:szCs w:val="21"/>
        </w:rPr>
        <w:t>7.5管道焊接采用氩弧焊打底，电弧焊盖面焊接工艺，符合压力管道检验要求。</w:t>
      </w:r>
    </w:p>
    <w:p w14:paraId="238D2C6D">
      <w:pPr>
        <w:spacing w:line="360" w:lineRule="auto"/>
        <w:ind w:firstLine="420" w:firstLineChars="200"/>
        <w:jc w:val="both"/>
        <w:rPr>
          <w:rFonts w:ascii="宋体" w:hAnsi="宋体"/>
          <w:bCs/>
          <w:color w:val="000000"/>
          <w:sz w:val="21"/>
          <w:szCs w:val="21"/>
        </w:rPr>
      </w:pPr>
      <w:r>
        <w:rPr>
          <w:rFonts w:hint="eastAsia" w:ascii="宋体" w:hAnsi="宋体"/>
          <w:bCs/>
          <w:color w:val="000000"/>
          <w:sz w:val="21"/>
          <w:szCs w:val="21"/>
        </w:rPr>
        <w:t>7.6管道支、吊架由投标方设置，支、吊架设置数量符合相关设计规范，支、吊架承重满足长期使用需要，管道支点采用垫木。</w:t>
      </w:r>
    </w:p>
    <w:p w14:paraId="3853FFBF">
      <w:pPr>
        <w:spacing w:line="360" w:lineRule="auto"/>
        <w:ind w:firstLine="420" w:firstLineChars="200"/>
        <w:jc w:val="both"/>
        <w:rPr>
          <w:rFonts w:ascii="宋体" w:hAnsi="宋体"/>
          <w:bCs/>
          <w:color w:val="000000"/>
          <w:sz w:val="21"/>
          <w:szCs w:val="21"/>
        </w:rPr>
      </w:pPr>
      <w:r>
        <w:rPr>
          <w:rFonts w:hint="eastAsia" w:ascii="宋体" w:hAnsi="宋体"/>
          <w:bCs/>
          <w:color w:val="000000"/>
          <w:sz w:val="21"/>
          <w:szCs w:val="21"/>
        </w:rPr>
        <w:t>7.7管道保温采用不低于B1级耐火等级的聚氨酯，现场发泡，保温厚度符合国家规范要求，保温外包0.5厚铝皮，管道、管件等保温前做防腐处理。</w:t>
      </w:r>
    </w:p>
    <w:p w14:paraId="748C3742">
      <w:pPr>
        <w:spacing w:line="360" w:lineRule="auto"/>
        <w:ind w:firstLine="420" w:firstLineChars="200"/>
        <w:jc w:val="both"/>
        <w:rPr>
          <w:rFonts w:ascii="宋体" w:hAnsi="宋体"/>
          <w:bCs/>
          <w:color w:val="000000"/>
          <w:sz w:val="21"/>
          <w:szCs w:val="21"/>
        </w:rPr>
      </w:pPr>
      <w:r>
        <w:rPr>
          <w:rFonts w:hint="eastAsia" w:ascii="宋体" w:hAnsi="宋体"/>
          <w:bCs/>
          <w:color w:val="000000"/>
          <w:sz w:val="21"/>
          <w:szCs w:val="21"/>
        </w:rPr>
        <w:t>7.8所需水电源的取用点，由甲方指定地点，投标方负责从取用点敷设至使用点（利旧原则）。</w:t>
      </w:r>
    </w:p>
    <w:p w14:paraId="703C9FF9">
      <w:pPr>
        <w:spacing w:line="360" w:lineRule="auto"/>
        <w:ind w:firstLine="420" w:firstLineChars="200"/>
        <w:jc w:val="both"/>
        <w:rPr>
          <w:rFonts w:ascii="宋体" w:hAnsi="宋体"/>
          <w:bCs/>
          <w:color w:val="000000"/>
          <w:sz w:val="21"/>
          <w:szCs w:val="21"/>
        </w:rPr>
      </w:pPr>
      <w:r>
        <w:rPr>
          <w:rFonts w:hint="eastAsia" w:ascii="宋体" w:hAnsi="宋体"/>
          <w:bCs/>
          <w:color w:val="000000"/>
          <w:sz w:val="21"/>
          <w:szCs w:val="21"/>
        </w:rPr>
        <w:t>7.9制冷机组控制为全自动运行控制，具备手动控制功能，能根据设定温度自动调节变频运行，达到最佳的节能运行状态，能实时监控机组运行的状态参数，有异常报警提示及查询功能。</w:t>
      </w:r>
    </w:p>
    <w:p w14:paraId="509A1A65">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7.10配置有系统运行状态的后台监控，能监控机组的运行参数（与压缩机显示屏显示一致）、后台监控设置在制冷机房控制室内。</w:t>
      </w:r>
    </w:p>
    <w:p w14:paraId="42F37BF1">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7.11所有制冷阀门均采用丹佛斯品牌。</w:t>
      </w:r>
    </w:p>
    <w:p w14:paraId="11E6B1EF">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7.12所有电气线缆品牌为国内优质品牌。</w:t>
      </w:r>
    </w:p>
    <w:p w14:paraId="5A44C815">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7.13所有线槽采用不锈钢线槽、配电柜内采用硬质PVC机柜线槽；电气线路敷设规范、美观。</w:t>
      </w:r>
    </w:p>
    <w:p w14:paraId="1BBCB88E">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7.14所有设备的基础底座由投标方负责在原有基础设计及机组安装。</w:t>
      </w:r>
    </w:p>
    <w:p w14:paraId="3200DAC8">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7.15所有穿墙管道、线缆等均须设置防护、防冷桥措施，禁止裸过。</w:t>
      </w:r>
    </w:p>
    <w:p w14:paraId="65D5F129">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7.16所有破坏建筑物、构筑物的结构、防水的，由投标方负责恢复。</w:t>
      </w:r>
    </w:p>
    <w:p w14:paraId="5B91AF2C">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7.17系统安装后，正常运行所需的制冷剂、润滑油（首次运行）由投标方提供。</w:t>
      </w:r>
    </w:p>
    <w:p w14:paraId="7EFA1FCB">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7.18设备安装完成后，抽真空、保压等符合制冷等相关规范要求。</w:t>
      </w:r>
    </w:p>
    <w:p w14:paraId="5CA2B5C4">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7.19投标方负责所有压力容器、压力管道的报检，并提供报检所需的全套原件手续及注册登记表、使用登记证等合格的检验证书。</w:t>
      </w:r>
    </w:p>
    <w:p w14:paraId="69240654">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7.20本工程所有墙体开洞和封堵，顶板开洞和封堵均含在报价内。</w:t>
      </w:r>
    </w:p>
    <w:p w14:paraId="2613B476">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7.21机组需要安装带485通讯端口的电表计量装置。</w:t>
      </w:r>
    </w:p>
    <w:p w14:paraId="5CFED494">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7.22设计、选型、施工、验收等依据的规范（均以最新规范为准）：</w:t>
      </w:r>
    </w:p>
    <w:p w14:paraId="372E1712">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《钢结构设计规范》</w:t>
      </w:r>
    </w:p>
    <w:p w14:paraId="7E37D731">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《钢结构焊接规范》</w:t>
      </w:r>
    </w:p>
    <w:p w14:paraId="3F4761D8">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《工业金属管道设计规范》</w:t>
      </w:r>
    </w:p>
    <w:p w14:paraId="30817CCD">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《工业金属管道工程施工及验收规范》</w:t>
      </w:r>
    </w:p>
    <w:p w14:paraId="729D9C70">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《冷库设计规范》</w:t>
      </w:r>
    </w:p>
    <w:p w14:paraId="238757F8">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《压力管道安全技术监察规程》</w:t>
      </w:r>
    </w:p>
    <w:p w14:paraId="1A46927F">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《制冷设备安装工程施工及验收规范》</w:t>
      </w:r>
    </w:p>
    <w:p w14:paraId="206EDDF7">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《建筑电气工程施工质量验收规范》</w:t>
      </w:r>
    </w:p>
    <w:p w14:paraId="58461FAD">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《电气装置安装工程 低压电气施工及验收规范》</w:t>
      </w:r>
    </w:p>
    <w:p w14:paraId="153A0C9D">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《固定式压力容器安全技术监察规程》</w:t>
      </w:r>
    </w:p>
    <w:p w14:paraId="6F029190">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《压力管道安全技术监察规程》</w:t>
      </w:r>
    </w:p>
    <w:p w14:paraId="509739CC">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《特种设备安全监察条例》</w:t>
      </w:r>
    </w:p>
    <w:p w14:paraId="0B44623B">
      <w:pPr>
        <w:spacing w:line="360" w:lineRule="auto"/>
        <w:ind w:firstLine="420" w:firstLineChars="200"/>
        <w:jc w:val="both"/>
        <w:rPr>
          <w:rFonts w:ascii="宋体" w:hAnsi="宋体"/>
          <w:bCs/>
          <w:color w:val="000000"/>
          <w:sz w:val="21"/>
          <w:szCs w:val="21"/>
        </w:rPr>
      </w:pPr>
      <w:r>
        <w:rPr>
          <w:rFonts w:hint="eastAsia" w:ascii="宋体" w:hAnsi="宋体"/>
          <w:bCs/>
          <w:color w:val="000000"/>
          <w:sz w:val="21"/>
          <w:szCs w:val="21"/>
        </w:rPr>
        <w:t>其它未尽事应按国家有关规范、规定执行。</w:t>
      </w:r>
    </w:p>
    <w:p w14:paraId="7E2CBE0B">
      <w:pPr>
        <w:spacing w:line="360" w:lineRule="auto"/>
        <w:ind w:firstLine="420" w:firstLineChars="200"/>
        <w:jc w:val="both"/>
        <w:rPr>
          <w:rFonts w:ascii="宋体" w:hAnsi="宋体"/>
          <w:bCs/>
          <w:color w:val="000000"/>
          <w:sz w:val="21"/>
          <w:szCs w:val="21"/>
        </w:rPr>
      </w:pPr>
      <w:r>
        <w:rPr>
          <w:rFonts w:hint="eastAsia" w:ascii="宋体" w:hAnsi="宋体"/>
          <w:bCs/>
          <w:color w:val="000000"/>
          <w:sz w:val="21"/>
          <w:szCs w:val="21"/>
        </w:rPr>
        <w:t>8、资料要求：</w:t>
      </w:r>
    </w:p>
    <w:p w14:paraId="42988CC0">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资料按设备、管道、钢结构、电气等类别封装交接原件，内容包含但不限于以下：</w:t>
      </w:r>
    </w:p>
    <w:p w14:paraId="715C8135">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8.1压力容器、压力管道全套报检原件及检验合格报告。</w:t>
      </w:r>
    </w:p>
    <w:p w14:paraId="04D5CED6">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8.2电气元件、线缆合格证、质量证明文件、使用说明书等。</w:t>
      </w:r>
    </w:p>
    <w:p w14:paraId="196C8F88">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8.3针对该项目提供涉氨专项改造方案。</w:t>
      </w:r>
    </w:p>
    <w:p w14:paraId="74CB1930">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9、质保要求</w:t>
      </w:r>
    </w:p>
    <w:p w14:paraId="63FEEB10">
      <w:pPr>
        <w:spacing w:line="360" w:lineRule="auto"/>
        <w:ind w:firstLine="420" w:firstLineChars="200"/>
        <w:jc w:val="both"/>
        <w:rPr>
          <w:rFonts w:ascii="宋体" w:hAnsi="宋体"/>
          <w:bCs/>
          <w:color w:val="000000"/>
          <w:sz w:val="21"/>
          <w:szCs w:val="21"/>
        </w:rPr>
      </w:pPr>
      <w:r>
        <w:rPr>
          <w:rFonts w:hint="eastAsia" w:ascii="宋体" w:hAnsi="宋体"/>
          <w:bCs/>
          <w:color w:val="000000"/>
          <w:sz w:val="21"/>
          <w:szCs w:val="21"/>
        </w:rPr>
        <w:t>工期：25天。设备及工程要求质保期≥2年，质保期内，设备出现问题，乙方应在接到通知12小时内派技术人员到达现场；除需方因素和自然灾害外无偿维修；质保期外，乙方提供技术支持和服务。</w:t>
      </w:r>
    </w:p>
    <w:p w14:paraId="65891FEF">
      <w:pPr>
        <w:spacing w:line="360" w:lineRule="auto"/>
        <w:ind w:firstLine="420" w:firstLineChars="200"/>
        <w:jc w:val="center"/>
        <w:rPr>
          <w:rFonts w:hint="eastAsia" w:ascii="宋体" w:hAnsi="宋体"/>
          <w:bCs/>
          <w:color w:val="000000"/>
          <w:sz w:val="21"/>
          <w:szCs w:val="21"/>
        </w:rPr>
      </w:pPr>
      <w:r>
        <w:rPr>
          <w:rFonts w:hint="eastAsia" w:ascii="宋体" w:hAnsi="宋体"/>
          <w:bCs/>
          <w:color w:val="000000"/>
          <w:sz w:val="21"/>
          <w:szCs w:val="21"/>
        </w:rPr>
        <w:t>价格单</w:t>
      </w:r>
    </w:p>
    <w:tbl>
      <w:tblPr>
        <w:tblStyle w:val="15"/>
        <w:tblW w:w="8895" w:type="dxa"/>
        <w:jc w:val="center"/>
        <w:tblLayout w:type="fixed"/>
        <w:tblCellMar>
          <w:top w:w="0" w:type="dxa"/>
          <w:left w:w="108" w:type="dxa"/>
          <w:bottom w:w="0" w:type="dxa"/>
          <w:right w:w="108" w:type="dxa"/>
        </w:tblCellMar>
      </w:tblPr>
      <w:tblGrid>
        <w:gridCol w:w="720"/>
        <w:gridCol w:w="2722"/>
        <w:gridCol w:w="720"/>
        <w:gridCol w:w="1230"/>
        <w:gridCol w:w="1643"/>
        <w:gridCol w:w="1860"/>
      </w:tblGrid>
      <w:tr w14:paraId="018E99FF">
        <w:tblPrEx>
          <w:tblCellMar>
            <w:top w:w="0" w:type="dxa"/>
            <w:left w:w="108" w:type="dxa"/>
            <w:bottom w:w="0" w:type="dxa"/>
            <w:right w:w="108" w:type="dxa"/>
          </w:tblCellMar>
        </w:tblPrEx>
        <w:trPr>
          <w:trHeight w:val="167" w:hRule="atLeast"/>
          <w:jc w:val="center"/>
        </w:trPr>
        <w:tc>
          <w:tcPr>
            <w:tcW w:w="8895" w:type="dxa"/>
            <w:gridSpan w:val="6"/>
            <w:tcBorders>
              <w:top w:val="nil"/>
              <w:left w:val="nil"/>
              <w:bottom w:val="single" w:color="auto" w:sz="4" w:space="0"/>
              <w:right w:val="nil"/>
            </w:tcBorders>
            <w:noWrap/>
            <w:vAlign w:val="bottom"/>
          </w:tcPr>
          <w:p w14:paraId="0525432C">
            <w:pPr>
              <w:jc w:val="center"/>
              <w:rPr>
                <w:rFonts w:hint="eastAsia" w:ascii="宋体" w:hAnsi="宋体" w:cs="宋体"/>
                <w:b/>
                <w:bCs/>
                <w:color w:val="000000"/>
                <w:sz w:val="22"/>
                <w:szCs w:val="22"/>
              </w:rPr>
            </w:pPr>
            <w:bookmarkStart w:id="12" w:name="_Hlk232102221"/>
          </w:p>
        </w:tc>
      </w:tr>
      <w:tr w14:paraId="74010DF8">
        <w:tblPrEx>
          <w:tblCellMar>
            <w:top w:w="0" w:type="dxa"/>
            <w:left w:w="108" w:type="dxa"/>
            <w:bottom w:w="0" w:type="dxa"/>
            <w:right w:w="108" w:type="dxa"/>
          </w:tblCellMar>
        </w:tblPrEx>
        <w:trPr>
          <w:trHeight w:val="167" w:hRule="atLeast"/>
          <w:jc w:val="center"/>
        </w:trPr>
        <w:tc>
          <w:tcPr>
            <w:tcW w:w="720" w:type="dxa"/>
            <w:tcBorders>
              <w:top w:val="nil"/>
              <w:left w:val="single" w:color="auto" w:sz="4" w:space="0"/>
              <w:bottom w:val="single" w:color="auto" w:sz="4" w:space="0"/>
              <w:right w:val="single" w:color="auto" w:sz="4" w:space="0"/>
            </w:tcBorders>
            <w:noWrap/>
            <w:vAlign w:val="bottom"/>
          </w:tcPr>
          <w:p w14:paraId="56B68927">
            <w:pPr>
              <w:jc w:val="center"/>
              <w:rPr>
                <w:rFonts w:hint="eastAsia" w:ascii="宋体" w:hAnsi="宋体" w:cs="宋体"/>
                <w:color w:val="000000"/>
                <w:sz w:val="22"/>
                <w:szCs w:val="22"/>
              </w:rPr>
            </w:pPr>
            <w:r>
              <w:rPr>
                <w:rFonts w:ascii="宋体" w:hAnsi="宋体" w:cs="宋体"/>
                <w:color w:val="000000"/>
                <w:sz w:val="22"/>
                <w:szCs w:val="22"/>
              </w:rPr>
              <w:t>序号</w:t>
            </w:r>
          </w:p>
        </w:tc>
        <w:tc>
          <w:tcPr>
            <w:tcW w:w="2722" w:type="dxa"/>
            <w:tcBorders>
              <w:top w:val="nil"/>
              <w:left w:val="nil"/>
              <w:bottom w:val="single" w:color="auto" w:sz="4" w:space="0"/>
              <w:right w:val="single" w:color="auto" w:sz="4" w:space="0"/>
            </w:tcBorders>
            <w:noWrap/>
            <w:vAlign w:val="bottom"/>
          </w:tcPr>
          <w:p w14:paraId="33B87BE1">
            <w:pPr>
              <w:jc w:val="center"/>
              <w:rPr>
                <w:rFonts w:hint="eastAsia" w:ascii="宋体" w:hAnsi="宋体" w:cs="宋体"/>
                <w:color w:val="000000"/>
                <w:sz w:val="22"/>
                <w:szCs w:val="22"/>
              </w:rPr>
            </w:pPr>
            <w:r>
              <w:rPr>
                <w:rFonts w:ascii="宋体" w:hAnsi="宋体" w:cs="宋体"/>
                <w:color w:val="000000"/>
                <w:sz w:val="22"/>
                <w:szCs w:val="22"/>
              </w:rPr>
              <w:t>施工内容</w:t>
            </w:r>
          </w:p>
        </w:tc>
        <w:tc>
          <w:tcPr>
            <w:tcW w:w="720" w:type="dxa"/>
            <w:tcBorders>
              <w:top w:val="nil"/>
              <w:left w:val="nil"/>
              <w:bottom w:val="single" w:color="auto" w:sz="4" w:space="0"/>
              <w:right w:val="single" w:color="auto" w:sz="4" w:space="0"/>
            </w:tcBorders>
            <w:noWrap/>
            <w:vAlign w:val="bottom"/>
          </w:tcPr>
          <w:p w14:paraId="47753C75">
            <w:pPr>
              <w:jc w:val="center"/>
              <w:rPr>
                <w:rFonts w:hint="eastAsia" w:ascii="宋体" w:hAnsi="宋体" w:cs="宋体"/>
                <w:color w:val="000000"/>
                <w:sz w:val="22"/>
                <w:szCs w:val="22"/>
              </w:rPr>
            </w:pPr>
            <w:r>
              <w:rPr>
                <w:rFonts w:ascii="宋体" w:hAnsi="宋体" w:cs="宋体"/>
                <w:color w:val="000000"/>
                <w:sz w:val="22"/>
                <w:szCs w:val="22"/>
              </w:rPr>
              <w:t>数量</w:t>
            </w:r>
          </w:p>
        </w:tc>
        <w:tc>
          <w:tcPr>
            <w:tcW w:w="1230" w:type="dxa"/>
            <w:tcBorders>
              <w:top w:val="nil"/>
              <w:left w:val="nil"/>
              <w:bottom w:val="single" w:color="auto" w:sz="4" w:space="0"/>
              <w:right w:val="single" w:color="auto" w:sz="4" w:space="0"/>
            </w:tcBorders>
            <w:noWrap/>
            <w:vAlign w:val="bottom"/>
          </w:tcPr>
          <w:p w14:paraId="779D268C">
            <w:pPr>
              <w:jc w:val="center"/>
              <w:rPr>
                <w:rFonts w:hint="eastAsia" w:ascii="宋体" w:hAnsi="宋体" w:cs="宋体"/>
                <w:color w:val="000000"/>
                <w:sz w:val="22"/>
                <w:szCs w:val="22"/>
              </w:rPr>
            </w:pPr>
            <w:r>
              <w:rPr>
                <w:rFonts w:ascii="宋体" w:hAnsi="宋体" w:cs="宋体"/>
                <w:color w:val="000000"/>
                <w:sz w:val="22"/>
                <w:szCs w:val="22"/>
              </w:rPr>
              <w:t>单位</w:t>
            </w:r>
          </w:p>
        </w:tc>
        <w:tc>
          <w:tcPr>
            <w:tcW w:w="1643" w:type="dxa"/>
            <w:tcBorders>
              <w:top w:val="nil"/>
              <w:left w:val="nil"/>
              <w:bottom w:val="single" w:color="auto" w:sz="4" w:space="0"/>
              <w:right w:val="single" w:color="auto" w:sz="4" w:space="0"/>
            </w:tcBorders>
            <w:noWrap/>
            <w:vAlign w:val="bottom"/>
          </w:tcPr>
          <w:p w14:paraId="62DCC517">
            <w:pPr>
              <w:jc w:val="both"/>
              <w:rPr>
                <w:rFonts w:hint="eastAsia" w:ascii="宋体" w:hAnsi="宋体" w:cs="宋体"/>
                <w:color w:val="000000"/>
                <w:sz w:val="22"/>
                <w:szCs w:val="22"/>
              </w:rPr>
            </w:pPr>
            <w:r>
              <w:rPr>
                <w:rFonts w:hint="eastAsia" w:ascii="宋体" w:hAnsi="宋体" w:cs="宋体"/>
                <w:color w:val="000000"/>
                <w:sz w:val="22"/>
                <w:szCs w:val="22"/>
              </w:rPr>
              <w:t>单价（万元）</w:t>
            </w:r>
          </w:p>
        </w:tc>
        <w:tc>
          <w:tcPr>
            <w:tcW w:w="1860" w:type="dxa"/>
            <w:tcBorders>
              <w:top w:val="nil"/>
              <w:left w:val="nil"/>
              <w:bottom w:val="single" w:color="auto" w:sz="4" w:space="0"/>
              <w:right w:val="single" w:color="auto" w:sz="4" w:space="0"/>
            </w:tcBorders>
            <w:noWrap/>
            <w:vAlign w:val="bottom"/>
          </w:tcPr>
          <w:p w14:paraId="4A81E37D">
            <w:pPr>
              <w:jc w:val="center"/>
              <w:rPr>
                <w:rFonts w:hint="eastAsia" w:ascii="宋体" w:hAnsi="宋体" w:cs="宋体"/>
                <w:color w:val="000000"/>
                <w:sz w:val="22"/>
                <w:szCs w:val="22"/>
              </w:rPr>
            </w:pPr>
            <w:r>
              <w:rPr>
                <w:rFonts w:hint="eastAsia" w:ascii="宋体" w:hAnsi="宋体" w:cs="宋体"/>
                <w:color w:val="000000"/>
                <w:sz w:val="22"/>
                <w:szCs w:val="22"/>
              </w:rPr>
              <w:t>金额（万元）</w:t>
            </w:r>
          </w:p>
        </w:tc>
      </w:tr>
      <w:tr w14:paraId="17A27A8A">
        <w:tblPrEx>
          <w:tblCellMar>
            <w:top w:w="0" w:type="dxa"/>
            <w:left w:w="108" w:type="dxa"/>
            <w:bottom w:w="0" w:type="dxa"/>
            <w:right w:w="108" w:type="dxa"/>
          </w:tblCellMar>
        </w:tblPrEx>
        <w:trPr>
          <w:trHeight w:val="334" w:hRule="atLeast"/>
          <w:jc w:val="center"/>
        </w:trPr>
        <w:tc>
          <w:tcPr>
            <w:tcW w:w="720" w:type="dxa"/>
            <w:tcBorders>
              <w:top w:val="nil"/>
              <w:left w:val="single" w:color="auto" w:sz="4" w:space="0"/>
              <w:bottom w:val="single" w:color="auto" w:sz="4" w:space="0"/>
              <w:right w:val="single" w:color="auto" w:sz="4" w:space="0"/>
            </w:tcBorders>
            <w:noWrap/>
            <w:vAlign w:val="bottom"/>
          </w:tcPr>
          <w:p w14:paraId="6781E1F2">
            <w:pPr>
              <w:jc w:val="center"/>
              <w:rPr>
                <w:rFonts w:hint="eastAsia" w:ascii="宋体" w:hAnsi="宋体" w:cs="宋体"/>
                <w:color w:val="000000"/>
                <w:sz w:val="22"/>
                <w:szCs w:val="22"/>
              </w:rPr>
            </w:pPr>
            <w:r>
              <w:rPr>
                <w:rFonts w:ascii="宋体" w:hAnsi="宋体" w:cs="宋体"/>
                <w:color w:val="000000"/>
                <w:sz w:val="22"/>
                <w:szCs w:val="22"/>
              </w:rPr>
              <w:t>1</w:t>
            </w:r>
          </w:p>
        </w:tc>
        <w:tc>
          <w:tcPr>
            <w:tcW w:w="2722" w:type="dxa"/>
            <w:tcBorders>
              <w:top w:val="nil"/>
              <w:left w:val="nil"/>
              <w:bottom w:val="single" w:color="auto" w:sz="4" w:space="0"/>
              <w:right w:val="single" w:color="auto" w:sz="4" w:space="0"/>
            </w:tcBorders>
            <w:vAlign w:val="center"/>
          </w:tcPr>
          <w:p w14:paraId="7CC5EEAE">
            <w:pPr>
              <w:rPr>
                <w:rFonts w:hint="eastAsia" w:ascii="宋体" w:hAnsi="宋体" w:cs="宋体"/>
                <w:color w:val="000000"/>
                <w:sz w:val="22"/>
                <w:szCs w:val="22"/>
              </w:rPr>
            </w:pPr>
            <w:r>
              <w:rPr>
                <w:rFonts w:ascii="宋体" w:hAnsi="宋体" w:cs="宋体"/>
                <w:color w:val="000000"/>
                <w:sz w:val="22"/>
                <w:szCs w:val="22"/>
              </w:rPr>
              <w:t>现有报废机组及配套管件拆除</w:t>
            </w:r>
            <w:r>
              <w:rPr>
                <w:rFonts w:hint="eastAsia" w:ascii="宋体" w:hAnsi="宋体" w:cs="宋体"/>
                <w:color w:val="000000"/>
                <w:sz w:val="22"/>
                <w:szCs w:val="22"/>
              </w:rPr>
              <w:t>（含一台经济器）</w:t>
            </w:r>
          </w:p>
        </w:tc>
        <w:tc>
          <w:tcPr>
            <w:tcW w:w="720" w:type="dxa"/>
            <w:tcBorders>
              <w:top w:val="nil"/>
              <w:left w:val="nil"/>
              <w:bottom w:val="single" w:color="auto" w:sz="4" w:space="0"/>
              <w:right w:val="single" w:color="auto" w:sz="4" w:space="0"/>
            </w:tcBorders>
            <w:vAlign w:val="center"/>
          </w:tcPr>
          <w:p w14:paraId="50628D62">
            <w:pPr>
              <w:jc w:val="center"/>
              <w:rPr>
                <w:rFonts w:hint="eastAsia" w:ascii="宋体" w:hAnsi="宋体" w:cs="宋体"/>
                <w:color w:val="000000"/>
                <w:sz w:val="22"/>
                <w:szCs w:val="22"/>
              </w:rPr>
            </w:pPr>
            <w:r>
              <w:rPr>
                <w:rFonts w:ascii="宋体" w:hAnsi="宋体" w:cs="宋体"/>
                <w:color w:val="000000"/>
                <w:sz w:val="22"/>
                <w:szCs w:val="22"/>
              </w:rPr>
              <w:t>3</w:t>
            </w:r>
          </w:p>
        </w:tc>
        <w:tc>
          <w:tcPr>
            <w:tcW w:w="1230" w:type="dxa"/>
            <w:tcBorders>
              <w:top w:val="nil"/>
              <w:left w:val="nil"/>
              <w:bottom w:val="single" w:color="auto" w:sz="4" w:space="0"/>
              <w:right w:val="single" w:color="auto" w:sz="4" w:space="0"/>
            </w:tcBorders>
            <w:vAlign w:val="center"/>
          </w:tcPr>
          <w:p w14:paraId="6FD6D253">
            <w:pPr>
              <w:jc w:val="center"/>
              <w:rPr>
                <w:rFonts w:hint="eastAsia" w:ascii="宋体" w:hAnsi="宋体" w:cs="宋体"/>
                <w:color w:val="000000"/>
                <w:sz w:val="22"/>
                <w:szCs w:val="22"/>
              </w:rPr>
            </w:pPr>
            <w:r>
              <w:rPr>
                <w:rFonts w:ascii="宋体" w:hAnsi="宋体" w:cs="宋体"/>
                <w:color w:val="000000"/>
                <w:sz w:val="22"/>
                <w:szCs w:val="22"/>
              </w:rPr>
              <w:t>套</w:t>
            </w:r>
          </w:p>
        </w:tc>
        <w:tc>
          <w:tcPr>
            <w:tcW w:w="1643" w:type="dxa"/>
            <w:tcBorders>
              <w:top w:val="nil"/>
              <w:left w:val="nil"/>
              <w:bottom w:val="single" w:color="auto" w:sz="4" w:space="0"/>
              <w:right w:val="single" w:color="auto" w:sz="4" w:space="0"/>
            </w:tcBorders>
            <w:vAlign w:val="center"/>
          </w:tcPr>
          <w:p w14:paraId="1F4F9F4F">
            <w:pPr>
              <w:jc w:val="center"/>
              <w:rPr>
                <w:rFonts w:hint="eastAsia" w:ascii="宋体" w:hAnsi="宋体" w:cs="宋体"/>
                <w:color w:val="000000"/>
                <w:sz w:val="22"/>
                <w:szCs w:val="22"/>
              </w:rPr>
            </w:pPr>
          </w:p>
        </w:tc>
        <w:tc>
          <w:tcPr>
            <w:tcW w:w="1860" w:type="dxa"/>
            <w:tcBorders>
              <w:top w:val="nil"/>
              <w:left w:val="nil"/>
              <w:bottom w:val="single" w:color="auto" w:sz="4" w:space="0"/>
              <w:right w:val="single" w:color="auto" w:sz="4" w:space="0"/>
            </w:tcBorders>
            <w:vAlign w:val="center"/>
          </w:tcPr>
          <w:p w14:paraId="4C9F5591">
            <w:pPr>
              <w:jc w:val="center"/>
              <w:rPr>
                <w:rFonts w:hint="eastAsia" w:ascii="宋体" w:hAnsi="宋体" w:cs="宋体"/>
                <w:color w:val="000000"/>
                <w:sz w:val="22"/>
                <w:szCs w:val="22"/>
              </w:rPr>
            </w:pPr>
          </w:p>
        </w:tc>
      </w:tr>
      <w:tr w14:paraId="7AEE1F48">
        <w:tblPrEx>
          <w:tblCellMar>
            <w:top w:w="0" w:type="dxa"/>
            <w:left w:w="108" w:type="dxa"/>
            <w:bottom w:w="0" w:type="dxa"/>
            <w:right w:w="108" w:type="dxa"/>
          </w:tblCellMar>
        </w:tblPrEx>
        <w:trPr>
          <w:trHeight w:val="167" w:hRule="atLeast"/>
          <w:jc w:val="center"/>
        </w:trPr>
        <w:tc>
          <w:tcPr>
            <w:tcW w:w="720" w:type="dxa"/>
            <w:tcBorders>
              <w:top w:val="nil"/>
              <w:left w:val="single" w:color="auto" w:sz="4" w:space="0"/>
              <w:bottom w:val="single" w:color="auto" w:sz="4" w:space="0"/>
              <w:right w:val="single" w:color="auto" w:sz="4" w:space="0"/>
            </w:tcBorders>
            <w:noWrap/>
            <w:vAlign w:val="bottom"/>
          </w:tcPr>
          <w:p w14:paraId="4F43B1F6">
            <w:pPr>
              <w:jc w:val="center"/>
              <w:rPr>
                <w:rFonts w:hint="eastAsia" w:ascii="宋体" w:hAnsi="宋体" w:cs="宋体"/>
                <w:color w:val="000000"/>
                <w:sz w:val="22"/>
                <w:szCs w:val="22"/>
              </w:rPr>
            </w:pPr>
            <w:r>
              <w:rPr>
                <w:rFonts w:ascii="宋体" w:hAnsi="宋体" w:cs="宋体"/>
                <w:color w:val="000000"/>
                <w:sz w:val="22"/>
                <w:szCs w:val="22"/>
              </w:rPr>
              <w:t>2</w:t>
            </w:r>
          </w:p>
        </w:tc>
        <w:tc>
          <w:tcPr>
            <w:tcW w:w="2722" w:type="dxa"/>
            <w:tcBorders>
              <w:top w:val="nil"/>
              <w:left w:val="nil"/>
              <w:bottom w:val="single" w:color="auto" w:sz="4" w:space="0"/>
              <w:right w:val="single" w:color="auto" w:sz="4" w:space="0"/>
            </w:tcBorders>
            <w:vAlign w:val="center"/>
          </w:tcPr>
          <w:p w14:paraId="730EFC30">
            <w:pPr>
              <w:rPr>
                <w:rFonts w:hint="eastAsia" w:ascii="宋体" w:hAnsi="宋体" w:cs="宋体"/>
                <w:color w:val="000000"/>
                <w:sz w:val="22"/>
                <w:szCs w:val="22"/>
              </w:rPr>
            </w:pPr>
            <w:r>
              <w:rPr>
                <w:rFonts w:ascii="宋体" w:hAnsi="宋体" w:cs="宋体"/>
                <w:color w:val="000000"/>
                <w:sz w:val="22"/>
                <w:szCs w:val="22"/>
              </w:rPr>
              <w:t>机组湖州转运</w:t>
            </w:r>
          </w:p>
        </w:tc>
        <w:tc>
          <w:tcPr>
            <w:tcW w:w="720" w:type="dxa"/>
            <w:tcBorders>
              <w:top w:val="nil"/>
              <w:left w:val="nil"/>
              <w:bottom w:val="single" w:color="auto" w:sz="4" w:space="0"/>
              <w:right w:val="single" w:color="auto" w:sz="4" w:space="0"/>
            </w:tcBorders>
            <w:vAlign w:val="center"/>
          </w:tcPr>
          <w:p w14:paraId="20EDA4C4">
            <w:pPr>
              <w:jc w:val="center"/>
              <w:rPr>
                <w:rFonts w:hint="eastAsia" w:ascii="宋体" w:hAnsi="宋体" w:cs="宋体"/>
                <w:color w:val="000000"/>
                <w:sz w:val="22"/>
                <w:szCs w:val="22"/>
              </w:rPr>
            </w:pPr>
            <w:r>
              <w:rPr>
                <w:rFonts w:ascii="宋体" w:hAnsi="宋体" w:cs="宋体"/>
                <w:color w:val="000000"/>
                <w:sz w:val="22"/>
                <w:szCs w:val="22"/>
              </w:rPr>
              <w:t>2</w:t>
            </w:r>
          </w:p>
        </w:tc>
        <w:tc>
          <w:tcPr>
            <w:tcW w:w="1230" w:type="dxa"/>
            <w:tcBorders>
              <w:top w:val="nil"/>
              <w:left w:val="nil"/>
              <w:bottom w:val="single" w:color="auto" w:sz="4" w:space="0"/>
              <w:right w:val="single" w:color="auto" w:sz="4" w:space="0"/>
            </w:tcBorders>
            <w:vAlign w:val="center"/>
          </w:tcPr>
          <w:p w14:paraId="57D6B943">
            <w:pPr>
              <w:jc w:val="center"/>
              <w:rPr>
                <w:rFonts w:hint="eastAsia" w:ascii="宋体" w:hAnsi="宋体" w:cs="宋体"/>
                <w:color w:val="000000"/>
                <w:sz w:val="22"/>
                <w:szCs w:val="22"/>
              </w:rPr>
            </w:pPr>
            <w:r>
              <w:rPr>
                <w:rFonts w:ascii="宋体" w:hAnsi="宋体" w:cs="宋体"/>
                <w:color w:val="000000"/>
                <w:sz w:val="22"/>
                <w:szCs w:val="22"/>
              </w:rPr>
              <w:t>台</w:t>
            </w:r>
          </w:p>
        </w:tc>
        <w:tc>
          <w:tcPr>
            <w:tcW w:w="1643" w:type="dxa"/>
            <w:tcBorders>
              <w:top w:val="nil"/>
              <w:left w:val="nil"/>
              <w:bottom w:val="single" w:color="auto" w:sz="4" w:space="0"/>
              <w:right w:val="single" w:color="auto" w:sz="4" w:space="0"/>
            </w:tcBorders>
            <w:vAlign w:val="center"/>
          </w:tcPr>
          <w:p w14:paraId="638E12CF">
            <w:pPr>
              <w:jc w:val="center"/>
              <w:rPr>
                <w:rFonts w:hint="eastAsia" w:ascii="宋体" w:hAnsi="宋体" w:cs="宋体"/>
                <w:color w:val="000000"/>
                <w:sz w:val="22"/>
                <w:szCs w:val="22"/>
              </w:rPr>
            </w:pPr>
            <w:r>
              <w:rPr>
                <w:rFonts w:ascii="宋体" w:hAnsi="宋体" w:cs="宋体"/>
                <w:color w:val="000000"/>
                <w:sz w:val="22"/>
                <w:szCs w:val="22"/>
              </w:rPr>
              <w:t>　</w:t>
            </w:r>
          </w:p>
        </w:tc>
        <w:tc>
          <w:tcPr>
            <w:tcW w:w="1860" w:type="dxa"/>
            <w:tcBorders>
              <w:top w:val="nil"/>
              <w:left w:val="nil"/>
              <w:bottom w:val="single" w:color="auto" w:sz="4" w:space="0"/>
              <w:right w:val="single" w:color="auto" w:sz="4" w:space="0"/>
            </w:tcBorders>
            <w:vAlign w:val="center"/>
          </w:tcPr>
          <w:p w14:paraId="5C747660">
            <w:pPr>
              <w:jc w:val="center"/>
              <w:rPr>
                <w:rFonts w:hint="eastAsia" w:ascii="宋体" w:hAnsi="宋体" w:cs="宋体"/>
                <w:color w:val="000000"/>
                <w:sz w:val="22"/>
                <w:szCs w:val="22"/>
              </w:rPr>
            </w:pPr>
          </w:p>
        </w:tc>
      </w:tr>
      <w:tr w14:paraId="45F1EF0A">
        <w:tblPrEx>
          <w:tblCellMar>
            <w:top w:w="0" w:type="dxa"/>
            <w:left w:w="108" w:type="dxa"/>
            <w:bottom w:w="0" w:type="dxa"/>
            <w:right w:w="108" w:type="dxa"/>
          </w:tblCellMar>
        </w:tblPrEx>
        <w:trPr>
          <w:trHeight w:val="334" w:hRule="atLeast"/>
          <w:jc w:val="center"/>
        </w:trPr>
        <w:tc>
          <w:tcPr>
            <w:tcW w:w="720" w:type="dxa"/>
            <w:tcBorders>
              <w:top w:val="nil"/>
              <w:left w:val="single" w:color="auto" w:sz="4" w:space="0"/>
              <w:bottom w:val="single" w:color="auto" w:sz="4" w:space="0"/>
              <w:right w:val="single" w:color="auto" w:sz="4" w:space="0"/>
            </w:tcBorders>
            <w:noWrap/>
            <w:vAlign w:val="bottom"/>
          </w:tcPr>
          <w:p w14:paraId="1C330844">
            <w:pPr>
              <w:jc w:val="center"/>
              <w:rPr>
                <w:rFonts w:hint="eastAsia" w:ascii="宋体" w:hAnsi="宋体" w:cs="宋体"/>
                <w:color w:val="000000"/>
                <w:sz w:val="22"/>
                <w:szCs w:val="22"/>
              </w:rPr>
            </w:pPr>
            <w:r>
              <w:rPr>
                <w:rFonts w:ascii="宋体" w:hAnsi="宋体" w:cs="宋体"/>
                <w:color w:val="000000"/>
                <w:sz w:val="22"/>
                <w:szCs w:val="22"/>
              </w:rPr>
              <w:t>3</w:t>
            </w:r>
          </w:p>
        </w:tc>
        <w:tc>
          <w:tcPr>
            <w:tcW w:w="2722" w:type="dxa"/>
            <w:tcBorders>
              <w:top w:val="nil"/>
              <w:left w:val="nil"/>
              <w:bottom w:val="single" w:color="auto" w:sz="4" w:space="0"/>
              <w:right w:val="single" w:color="auto" w:sz="4" w:space="0"/>
            </w:tcBorders>
            <w:vAlign w:val="center"/>
          </w:tcPr>
          <w:p w14:paraId="6CD0DCF6">
            <w:pPr>
              <w:rPr>
                <w:rFonts w:hint="eastAsia" w:ascii="宋体" w:hAnsi="宋体" w:cs="宋体"/>
                <w:color w:val="000000"/>
                <w:sz w:val="22"/>
                <w:szCs w:val="22"/>
              </w:rPr>
            </w:pPr>
            <w:r>
              <w:rPr>
                <w:rFonts w:ascii="宋体" w:hAnsi="宋体" w:cs="宋体"/>
                <w:color w:val="000000"/>
                <w:sz w:val="22"/>
                <w:szCs w:val="22"/>
              </w:rPr>
              <w:t>调拨机组安装（含机组维保）</w:t>
            </w:r>
          </w:p>
        </w:tc>
        <w:tc>
          <w:tcPr>
            <w:tcW w:w="720" w:type="dxa"/>
            <w:tcBorders>
              <w:top w:val="nil"/>
              <w:left w:val="nil"/>
              <w:bottom w:val="single" w:color="auto" w:sz="4" w:space="0"/>
              <w:right w:val="single" w:color="auto" w:sz="4" w:space="0"/>
            </w:tcBorders>
            <w:vAlign w:val="center"/>
          </w:tcPr>
          <w:p w14:paraId="23B9B56A">
            <w:pPr>
              <w:jc w:val="center"/>
              <w:rPr>
                <w:rFonts w:hint="eastAsia" w:ascii="宋体" w:hAnsi="宋体" w:cs="宋体"/>
                <w:color w:val="000000"/>
                <w:sz w:val="22"/>
                <w:szCs w:val="22"/>
              </w:rPr>
            </w:pPr>
            <w:r>
              <w:rPr>
                <w:rFonts w:ascii="宋体" w:hAnsi="宋体" w:cs="宋体"/>
                <w:color w:val="000000"/>
                <w:sz w:val="22"/>
                <w:szCs w:val="22"/>
              </w:rPr>
              <w:t>2</w:t>
            </w:r>
          </w:p>
        </w:tc>
        <w:tc>
          <w:tcPr>
            <w:tcW w:w="1230" w:type="dxa"/>
            <w:tcBorders>
              <w:top w:val="nil"/>
              <w:left w:val="nil"/>
              <w:bottom w:val="single" w:color="auto" w:sz="4" w:space="0"/>
              <w:right w:val="single" w:color="auto" w:sz="4" w:space="0"/>
            </w:tcBorders>
            <w:vAlign w:val="center"/>
          </w:tcPr>
          <w:p w14:paraId="26717AA7">
            <w:pPr>
              <w:jc w:val="center"/>
              <w:rPr>
                <w:rFonts w:hint="eastAsia" w:ascii="宋体" w:hAnsi="宋体" w:cs="宋体"/>
                <w:color w:val="000000"/>
                <w:sz w:val="22"/>
                <w:szCs w:val="22"/>
              </w:rPr>
            </w:pPr>
            <w:r>
              <w:rPr>
                <w:rFonts w:ascii="宋体" w:hAnsi="宋体" w:cs="宋体"/>
                <w:color w:val="000000"/>
                <w:sz w:val="22"/>
                <w:szCs w:val="22"/>
              </w:rPr>
              <w:t>台</w:t>
            </w:r>
          </w:p>
        </w:tc>
        <w:tc>
          <w:tcPr>
            <w:tcW w:w="1643" w:type="dxa"/>
            <w:tcBorders>
              <w:top w:val="nil"/>
              <w:left w:val="nil"/>
              <w:bottom w:val="single" w:color="auto" w:sz="4" w:space="0"/>
              <w:right w:val="single" w:color="auto" w:sz="4" w:space="0"/>
            </w:tcBorders>
            <w:vAlign w:val="center"/>
          </w:tcPr>
          <w:p w14:paraId="6A7B15A8">
            <w:pPr>
              <w:jc w:val="center"/>
              <w:rPr>
                <w:rFonts w:hint="eastAsia" w:ascii="宋体" w:hAnsi="宋体" w:cs="宋体"/>
                <w:color w:val="000000"/>
                <w:sz w:val="22"/>
                <w:szCs w:val="22"/>
              </w:rPr>
            </w:pPr>
          </w:p>
        </w:tc>
        <w:tc>
          <w:tcPr>
            <w:tcW w:w="1860" w:type="dxa"/>
            <w:tcBorders>
              <w:top w:val="nil"/>
              <w:left w:val="nil"/>
              <w:bottom w:val="single" w:color="auto" w:sz="4" w:space="0"/>
              <w:right w:val="single" w:color="auto" w:sz="4" w:space="0"/>
            </w:tcBorders>
            <w:vAlign w:val="center"/>
          </w:tcPr>
          <w:p w14:paraId="0EFAC8B1">
            <w:pPr>
              <w:jc w:val="center"/>
              <w:rPr>
                <w:rFonts w:hint="eastAsia" w:ascii="宋体" w:hAnsi="宋体" w:cs="宋体"/>
                <w:color w:val="000000"/>
                <w:sz w:val="22"/>
                <w:szCs w:val="22"/>
              </w:rPr>
            </w:pPr>
          </w:p>
        </w:tc>
      </w:tr>
      <w:tr w14:paraId="710C59DB">
        <w:tblPrEx>
          <w:tblCellMar>
            <w:top w:w="0" w:type="dxa"/>
            <w:left w:w="108" w:type="dxa"/>
            <w:bottom w:w="0" w:type="dxa"/>
            <w:right w:w="108" w:type="dxa"/>
          </w:tblCellMar>
        </w:tblPrEx>
        <w:trPr>
          <w:trHeight w:val="503" w:hRule="atLeast"/>
          <w:jc w:val="center"/>
        </w:trPr>
        <w:tc>
          <w:tcPr>
            <w:tcW w:w="720" w:type="dxa"/>
            <w:tcBorders>
              <w:top w:val="nil"/>
              <w:left w:val="single" w:color="auto" w:sz="4" w:space="0"/>
              <w:bottom w:val="single" w:color="auto" w:sz="4" w:space="0"/>
              <w:right w:val="single" w:color="auto" w:sz="4" w:space="0"/>
            </w:tcBorders>
            <w:noWrap/>
            <w:vAlign w:val="bottom"/>
          </w:tcPr>
          <w:p w14:paraId="6D6C2A12">
            <w:pPr>
              <w:jc w:val="center"/>
              <w:rPr>
                <w:rFonts w:hint="eastAsia" w:ascii="宋体" w:hAnsi="宋体" w:cs="宋体"/>
                <w:color w:val="000000"/>
                <w:sz w:val="22"/>
                <w:szCs w:val="22"/>
              </w:rPr>
            </w:pPr>
            <w:r>
              <w:rPr>
                <w:rFonts w:ascii="宋体" w:hAnsi="宋体" w:cs="宋体"/>
                <w:color w:val="000000"/>
                <w:sz w:val="22"/>
                <w:szCs w:val="22"/>
              </w:rPr>
              <w:t>4</w:t>
            </w:r>
          </w:p>
        </w:tc>
        <w:tc>
          <w:tcPr>
            <w:tcW w:w="2722" w:type="dxa"/>
            <w:tcBorders>
              <w:top w:val="nil"/>
              <w:left w:val="nil"/>
              <w:bottom w:val="single" w:color="auto" w:sz="4" w:space="0"/>
              <w:right w:val="single" w:color="auto" w:sz="4" w:space="0"/>
            </w:tcBorders>
            <w:vAlign w:val="center"/>
          </w:tcPr>
          <w:p w14:paraId="6996F3C4">
            <w:pPr>
              <w:rPr>
                <w:rFonts w:hint="eastAsia" w:ascii="宋体" w:hAnsi="宋体" w:cs="宋体"/>
                <w:b/>
                <w:bCs/>
                <w:color w:val="000000"/>
                <w:sz w:val="22"/>
                <w:szCs w:val="22"/>
              </w:rPr>
            </w:pPr>
            <w:r>
              <w:rPr>
                <w:rFonts w:ascii="宋体" w:hAnsi="宋体" w:cs="宋体"/>
                <w:color w:val="000000"/>
                <w:sz w:val="22"/>
                <w:szCs w:val="22"/>
              </w:rPr>
              <w:t>新增氨制冷虹吸罐（</w:t>
            </w:r>
            <w:r>
              <w:rPr>
                <w:rFonts w:hint="eastAsia" w:ascii="宋体" w:hAnsi="宋体" w:cs="宋体"/>
                <w:color w:val="000000"/>
                <w:sz w:val="22"/>
                <w:szCs w:val="22"/>
              </w:rPr>
              <w:t>容积1m³)</w:t>
            </w:r>
          </w:p>
        </w:tc>
        <w:tc>
          <w:tcPr>
            <w:tcW w:w="720" w:type="dxa"/>
            <w:tcBorders>
              <w:top w:val="nil"/>
              <w:left w:val="nil"/>
              <w:bottom w:val="single" w:color="auto" w:sz="4" w:space="0"/>
              <w:right w:val="single" w:color="auto" w:sz="4" w:space="0"/>
            </w:tcBorders>
            <w:vAlign w:val="center"/>
          </w:tcPr>
          <w:p w14:paraId="5F129086">
            <w:pPr>
              <w:jc w:val="center"/>
              <w:rPr>
                <w:rFonts w:hint="eastAsia" w:ascii="宋体" w:hAnsi="宋体" w:cs="宋体"/>
                <w:color w:val="000000"/>
                <w:sz w:val="22"/>
                <w:szCs w:val="22"/>
              </w:rPr>
            </w:pPr>
            <w:r>
              <w:rPr>
                <w:rFonts w:ascii="宋体" w:hAnsi="宋体" w:cs="宋体"/>
                <w:color w:val="000000"/>
                <w:sz w:val="22"/>
                <w:szCs w:val="22"/>
              </w:rPr>
              <w:t>1</w:t>
            </w:r>
          </w:p>
        </w:tc>
        <w:tc>
          <w:tcPr>
            <w:tcW w:w="1230" w:type="dxa"/>
            <w:tcBorders>
              <w:top w:val="nil"/>
              <w:left w:val="nil"/>
              <w:bottom w:val="single" w:color="auto" w:sz="4" w:space="0"/>
              <w:right w:val="single" w:color="auto" w:sz="4" w:space="0"/>
            </w:tcBorders>
            <w:vAlign w:val="center"/>
          </w:tcPr>
          <w:p w14:paraId="663F5B37">
            <w:pPr>
              <w:jc w:val="center"/>
              <w:rPr>
                <w:rFonts w:hint="eastAsia" w:ascii="宋体" w:hAnsi="宋体" w:cs="宋体"/>
                <w:color w:val="000000"/>
                <w:sz w:val="22"/>
                <w:szCs w:val="22"/>
              </w:rPr>
            </w:pPr>
            <w:r>
              <w:rPr>
                <w:rFonts w:ascii="宋体" w:hAnsi="宋体" w:cs="宋体"/>
                <w:color w:val="000000"/>
                <w:sz w:val="22"/>
                <w:szCs w:val="22"/>
              </w:rPr>
              <w:t>套</w:t>
            </w:r>
          </w:p>
        </w:tc>
        <w:tc>
          <w:tcPr>
            <w:tcW w:w="1643" w:type="dxa"/>
            <w:tcBorders>
              <w:top w:val="nil"/>
              <w:left w:val="nil"/>
              <w:bottom w:val="single" w:color="auto" w:sz="4" w:space="0"/>
              <w:right w:val="single" w:color="auto" w:sz="4" w:space="0"/>
            </w:tcBorders>
            <w:vAlign w:val="center"/>
          </w:tcPr>
          <w:p w14:paraId="279B3475">
            <w:pPr>
              <w:jc w:val="center"/>
              <w:rPr>
                <w:rFonts w:hint="eastAsia" w:ascii="宋体" w:hAnsi="宋体" w:cs="宋体"/>
                <w:color w:val="000000"/>
                <w:sz w:val="22"/>
                <w:szCs w:val="22"/>
              </w:rPr>
            </w:pPr>
          </w:p>
        </w:tc>
        <w:tc>
          <w:tcPr>
            <w:tcW w:w="1860" w:type="dxa"/>
            <w:tcBorders>
              <w:top w:val="nil"/>
              <w:left w:val="nil"/>
              <w:bottom w:val="single" w:color="auto" w:sz="4" w:space="0"/>
              <w:right w:val="single" w:color="auto" w:sz="4" w:space="0"/>
            </w:tcBorders>
            <w:vAlign w:val="center"/>
          </w:tcPr>
          <w:p w14:paraId="0838406D">
            <w:pPr>
              <w:jc w:val="center"/>
              <w:rPr>
                <w:rFonts w:hint="eastAsia" w:ascii="宋体" w:hAnsi="宋体" w:cs="宋体"/>
                <w:color w:val="000000"/>
                <w:sz w:val="22"/>
                <w:szCs w:val="22"/>
              </w:rPr>
            </w:pPr>
          </w:p>
        </w:tc>
      </w:tr>
      <w:tr w14:paraId="6F67BF05">
        <w:tblPrEx>
          <w:tblCellMar>
            <w:top w:w="0" w:type="dxa"/>
            <w:left w:w="108" w:type="dxa"/>
            <w:bottom w:w="0" w:type="dxa"/>
            <w:right w:w="108" w:type="dxa"/>
          </w:tblCellMar>
        </w:tblPrEx>
        <w:trPr>
          <w:trHeight w:val="503" w:hRule="atLeast"/>
          <w:jc w:val="center"/>
        </w:trPr>
        <w:tc>
          <w:tcPr>
            <w:tcW w:w="720" w:type="dxa"/>
            <w:tcBorders>
              <w:top w:val="nil"/>
              <w:left w:val="single" w:color="auto" w:sz="4" w:space="0"/>
              <w:bottom w:val="single" w:color="auto" w:sz="4" w:space="0"/>
              <w:right w:val="single" w:color="auto" w:sz="4" w:space="0"/>
            </w:tcBorders>
            <w:noWrap/>
            <w:vAlign w:val="bottom"/>
          </w:tcPr>
          <w:p w14:paraId="01E0129C">
            <w:pPr>
              <w:jc w:val="center"/>
              <w:rPr>
                <w:rFonts w:hint="eastAsia" w:ascii="宋体" w:hAnsi="宋体" w:cs="宋体"/>
                <w:color w:val="000000"/>
                <w:sz w:val="22"/>
                <w:szCs w:val="22"/>
              </w:rPr>
            </w:pPr>
            <w:r>
              <w:rPr>
                <w:rFonts w:ascii="宋体" w:hAnsi="宋体" w:cs="宋体"/>
                <w:color w:val="000000"/>
                <w:sz w:val="22"/>
                <w:szCs w:val="22"/>
              </w:rPr>
              <w:t>5</w:t>
            </w:r>
          </w:p>
        </w:tc>
        <w:tc>
          <w:tcPr>
            <w:tcW w:w="2722" w:type="dxa"/>
            <w:tcBorders>
              <w:top w:val="nil"/>
              <w:left w:val="nil"/>
              <w:bottom w:val="single" w:color="auto" w:sz="4" w:space="0"/>
              <w:right w:val="single" w:color="auto" w:sz="4" w:space="0"/>
            </w:tcBorders>
            <w:vAlign w:val="center"/>
          </w:tcPr>
          <w:p w14:paraId="0C369B74">
            <w:pPr>
              <w:rPr>
                <w:rFonts w:hint="eastAsia" w:ascii="宋体" w:hAnsi="宋体" w:cs="宋体"/>
                <w:color w:val="000000"/>
                <w:sz w:val="22"/>
                <w:szCs w:val="22"/>
              </w:rPr>
            </w:pPr>
            <w:r>
              <w:rPr>
                <w:rFonts w:ascii="宋体" w:hAnsi="宋体" w:cs="宋体"/>
                <w:color w:val="000000"/>
                <w:sz w:val="22"/>
                <w:szCs w:val="22"/>
              </w:rPr>
              <w:t>机组系统配套管道/阀件/基础等改造安装</w:t>
            </w:r>
          </w:p>
        </w:tc>
        <w:tc>
          <w:tcPr>
            <w:tcW w:w="720" w:type="dxa"/>
            <w:tcBorders>
              <w:top w:val="nil"/>
              <w:left w:val="nil"/>
              <w:bottom w:val="single" w:color="auto" w:sz="4" w:space="0"/>
              <w:right w:val="single" w:color="auto" w:sz="4" w:space="0"/>
            </w:tcBorders>
            <w:vAlign w:val="center"/>
          </w:tcPr>
          <w:p w14:paraId="25F66E23">
            <w:pPr>
              <w:jc w:val="center"/>
              <w:rPr>
                <w:rFonts w:hint="eastAsia" w:ascii="宋体" w:hAnsi="宋体" w:cs="宋体"/>
                <w:color w:val="000000"/>
                <w:sz w:val="22"/>
                <w:szCs w:val="22"/>
              </w:rPr>
            </w:pPr>
            <w:r>
              <w:rPr>
                <w:rFonts w:ascii="宋体" w:hAnsi="宋体" w:cs="宋体"/>
                <w:color w:val="000000"/>
                <w:sz w:val="22"/>
                <w:szCs w:val="22"/>
              </w:rPr>
              <w:t>2</w:t>
            </w:r>
          </w:p>
        </w:tc>
        <w:tc>
          <w:tcPr>
            <w:tcW w:w="1230" w:type="dxa"/>
            <w:tcBorders>
              <w:top w:val="nil"/>
              <w:left w:val="nil"/>
              <w:bottom w:val="single" w:color="auto" w:sz="4" w:space="0"/>
              <w:right w:val="single" w:color="auto" w:sz="4" w:space="0"/>
            </w:tcBorders>
            <w:vAlign w:val="center"/>
          </w:tcPr>
          <w:p w14:paraId="79EBF9A3">
            <w:pPr>
              <w:jc w:val="center"/>
              <w:rPr>
                <w:rFonts w:hint="eastAsia" w:ascii="宋体" w:hAnsi="宋体" w:cs="宋体"/>
                <w:color w:val="000000"/>
                <w:sz w:val="22"/>
                <w:szCs w:val="22"/>
              </w:rPr>
            </w:pPr>
            <w:r>
              <w:rPr>
                <w:rFonts w:ascii="宋体" w:hAnsi="宋体" w:cs="宋体"/>
                <w:color w:val="000000"/>
                <w:sz w:val="22"/>
                <w:szCs w:val="22"/>
              </w:rPr>
              <w:t>套</w:t>
            </w:r>
          </w:p>
        </w:tc>
        <w:tc>
          <w:tcPr>
            <w:tcW w:w="1643" w:type="dxa"/>
            <w:tcBorders>
              <w:top w:val="nil"/>
              <w:left w:val="nil"/>
              <w:bottom w:val="single" w:color="auto" w:sz="4" w:space="0"/>
              <w:right w:val="single" w:color="auto" w:sz="4" w:space="0"/>
            </w:tcBorders>
            <w:vAlign w:val="center"/>
          </w:tcPr>
          <w:p w14:paraId="6CD4D75D">
            <w:pPr>
              <w:jc w:val="both"/>
              <w:rPr>
                <w:rFonts w:hint="eastAsia" w:ascii="宋体" w:hAnsi="宋体" w:cs="宋体"/>
                <w:color w:val="000000"/>
                <w:sz w:val="22"/>
                <w:szCs w:val="22"/>
              </w:rPr>
            </w:pPr>
          </w:p>
        </w:tc>
        <w:tc>
          <w:tcPr>
            <w:tcW w:w="1860" w:type="dxa"/>
            <w:tcBorders>
              <w:top w:val="nil"/>
              <w:left w:val="nil"/>
              <w:bottom w:val="single" w:color="auto" w:sz="4" w:space="0"/>
              <w:right w:val="single" w:color="auto" w:sz="4" w:space="0"/>
            </w:tcBorders>
            <w:vAlign w:val="center"/>
          </w:tcPr>
          <w:p w14:paraId="3C56F7A8">
            <w:pPr>
              <w:jc w:val="both"/>
              <w:rPr>
                <w:rFonts w:hint="eastAsia" w:ascii="宋体" w:hAnsi="宋体" w:cs="宋体"/>
                <w:color w:val="000000"/>
                <w:sz w:val="22"/>
                <w:szCs w:val="22"/>
              </w:rPr>
            </w:pPr>
          </w:p>
        </w:tc>
      </w:tr>
      <w:tr w14:paraId="0B1411FE">
        <w:tblPrEx>
          <w:tblCellMar>
            <w:top w:w="0" w:type="dxa"/>
            <w:left w:w="108" w:type="dxa"/>
            <w:bottom w:w="0" w:type="dxa"/>
            <w:right w:w="108" w:type="dxa"/>
          </w:tblCellMar>
        </w:tblPrEx>
        <w:trPr>
          <w:trHeight w:val="503" w:hRule="atLeast"/>
          <w:jc w:val="center"/>
        </w:trPr>
        <w:tc>
          <w:tcPr>
            <w:tcW w:w="720" w:type="dxa"/>
            <w:tcBorders>
              <w:top w:val="nil"/>
              <w:left w:val="single" w:color="auto" w:sz="4" w:space="0"/>
              <w:bottom w:val="single" w:color="auto" w:sz="4" w:space="0"/>
              <w:right w:val="single" w:color="auto" w:sz="4" w:space="0"/>
            </w:tcBorders>
            <w:noWrap/>
            <w:vAlign w:val="bottom"/>
          </w:tcPr>
          <w:p w14:paraId="7A181E98">
            <w:pPr>
              <w:jc w:val="center"/>
              <w:rPr>
                <w:rFonts w:hint="eastAsia" w:ascii="宋体" w:hAnsi="宋体" w:cs="宋体"/>
                <w:color w:val="000000"/>
                <w:sz w:val="22"/>
                <w:szCs w:val="22"/>
              </w:rPr>
            </w:pPr>
            <w:r>
              <w:rPr>
                <w:rFonts w:hint="eastAsia" w:ascii="宋体" w:hAnsi="宋体" w:cs="宋体"/>
                <w:color w:val="000000"/>
                <w:sz w:val="22"/>
                <w:szCs w:val="22"/>
              </w:rPr>
              <w:t>6</w:t>
            </w:r>
          </w:p>
        </w:tc>
        <w:tc>
          <w:tcPr>
            <w:tcW w:w="2722" w:type="dxa"/>
            <w:tcBorders>
              <w:top w:val="nil"/>
              <w:left w:val="nil"/>
              <w:bottom w:val="single" w:color="auto" w:sz="4" w:space="0"/>
              <w:right w:val="single" w:color="auto" w:sz="4" w:space="0"/>
            </w:tcBorders>
            <w:vAlign w:val="center"/>
          </w:tcPr>
          <w:p w14:paraId="0A5AB01F">
            <w:pPr>
              <w:rPr>
                <w:rFonts w:hint="eastAsia" w:ascii="宋体" w:hAnsi="宋体" w:cs="宋体"/>
                <w:color w:val="000000"/>
                <w:sz w:val="22"/>
                <w:szCs w:val="22"/>
              </w:rPr>
            </w:pPr>
            <w:r>
              <w:rPr>
                <w:rFonts w:hint="eastAsia" w:ascii="宋体" w:hAnsi="宋体" w:cs="宋体"/>
                <w:color w:val="000000"/>
                <w:sz w:val="22"/>
                <w:szCs w:val="22"/>
              </w:rPr>
              <w:t>基建费（墙体、门窗拆除、恢复）</w:t>
            </w:r>
          </w:p>
        </w:tc>
        <w:tc>
          <w:tcPr>
            <w:tcW w:w="720" w:type="dxa"/>
            <w:tcBorders>
              <w:top w:val="nil"/>
              <w:left w:val="nil"/>
              <w:bottom w:val="single" w:color="auto" w:sz="4" w:space="0"/>
              <w:right w:val="single" w:color="auto" w:sz="4" w:space="0"/>
            </w:tcBorders>
            <w:vAlign w:val="center"/>
          </w:tcPr>
          <w:p w14:paraId="54235553">
            <w:pPr>
              <w:jc w:val="center"/>
              <w:rPr>
                <w:rFonts w:hint="eastAsia" w:ascii="宋体" w:hAnsi="宋体" w:cs="宋体"/>
                <w:color w:val="000000"/>
                <w:sz w:val="22"/>
                <w:szCs w:val="22"/>
              </w:rPr>
            </w:pPr>
            <w:r>
              <w:rPr>
                <w:rFonts w:hint="eastAsia" w:ascii="宋体" w:hAnsi="宋体" w:cs="宋体"/>
                <w:color w:val="000000"/>
                <w:sz w:val="22"/>
                <w:szCs w:val="22"/>
              </w:rPr>
              <w:t>1</w:t>
            </w:r>
          </w:p>
        </w:tc>
        <w:tc>
          <w:tcPr>
            <w:tcW w:w="1230" w:type="dxa"/>
            <w:tcBorders>
              <w:top w:val="nil"/>
              <w:left w:val="nil"/>
              <w:bottom w:val="single" w:color="auto" w:sz="4" w:space="0"/>
              <w:right w:val="single" w:color="auto" w:sz="4" w:space="0"/>
            </w:tcBorders>
            <w:vAlign w:val="center"/>
          </w:tcPr>
          <w:p w14:paraId="6A8D369A">
            <w:pPr>
              <w:jc w:val="center"/>
              <w:rPr>
                <w:rFonts w:hint="eastAsia" w:ascii="宋体" w:hAnsi="宋体" w:cs="宋体"/>
                <w:color w:val="000000"/>
                <w:sz w:val="22"/>
                <w:szCs w:val="22"/>
              </w:rPr>
            </w:pPr>
            <w:r>
              <w:rPr>
                <w:rFonts w:hint="eastAsia" w:ascii="宋体" w:hAnsi="宋体" w:cs="宋体"/>
                <w:color w:val="000000"/>
                <w:sz w:val="22"/>
                <w:szCs w:val="22"/>
              </w:rPr>
              <w:t>套</w:t>
            </w:r>
          </w:p>
        </w:tc>
        <w:tc>
          <w:tcPr>
            <w:tcW w:w="1643" w:type="dxa"/>
            <w:tcBorders>
              <w:top w:val="nil"/>
              <w:left w:val="nil"/>
              <w:bottom w:val="single" w:color="auto" w:sz="4" w:space="0"/>
              <w:right w:val="single" w:color="auto" w:sz="4" w:space="0"/>
            </w:tcBorders>
            <w:vAlign w:val="center"/>
          </w:tcPr>
          <w:p w14:paraId="4674AFE6">
            <w:pPr>
              <w:ind w:firstLine="1100" w:firstLineChars="500"/>
              <w:jc w:val="both"/>
              <w:rPr>
                <w:rFonts w:hint="eastAsia" w:ascii="宋体" w:hAnsi="宋体" w:cs="宋体"/>
                <w:color w:val="000000"/>
                <w:sz w:val="22"/>
                <w:szCs w:val="22"/>
              </w:rPr>
            </w:pPr>
          </w:p>
        </w:tc>
        <w:tc>
          <w:tcPr>
            <w:tcW w:w="1860" w:type="dxa"/>
            <w:tcBorders>
              <w:top w:val="nil"/>
              <w:left w:val="nil"/>
              <w:bottom w:val="single" w:color="auto" w:sz="4" w:space="0"/>
              <w:right w:val="single" w:color="auto" w:sz="4" w:space="0"/>
            </w:tcBorders>
            <w:vAlign w:val="center"/>
          </w:tcPr>
          <w:p w14:paraId="058CF15C">
            <w:pPr>
              <w:ind w:firstLine="1100" w:firstLineChars="500"/>
              <w:jc w:val="both"/>
              <w:rPr>
                <w:rFonts w:hint="eastAsia" w:ascii="宋体" w:hAnsi="宋体" w:cs="宋体"/>
                <w:color w:val="000000"/>
                <w:sz w:val="22"/>
                <w:szCs w:val="22"/>
              </w:rPr>
            </w:pPr>
          </w:p>
        </w:tc>
      </w:tr>
      <w:tr w14:paraId="653FEAF8">
        <w:tblPrEx>
          <w:tblCellMar>
            <w:top w:w="0" w:type="dxa"/>
            <w:left w:w="108" w:type="dxa"/>
            <w:bottom w:w="0" w:type="dxa"/>
            <w:right w:w="108" w:type="dxa"/>
          </w:tblCellMar>
        </w:tblPrEx>
        <w:trPr>
          <w:trHeight w:val="503" w:hRule="atLeast"/>
          <w:jc w:val="center"/>
        </w:trPr>
        <w:tc>
          <w:tcPr>
            <w:tcW w:w="720" w:type="dxa"/>
            <w:tcBorders>
              <w:top w:val="nil"/>
              <w:left w:val="single" w:color="auto" w:sz="4" w:space="0"/>
              <w:bottom w:val="single" w:color="auto" w:sz="4" w:space="0"/>
              <w:right w:val="single" w:color="auto" w:sz="4" w:space="0"/>
            </w:tcBorders>
            <w:noWrap/>
            <w:vAlign w:val="bottom"/>
          </w:tcPr>
          <w:p w14:paraId="1C030043">
            <w:pPr>
              <w:jc w:val="center"/>
              <w:rPr>
                <w:rFonts w:hint="eastAsia" w:ascii="宋体" w:hAnsi="宋体" w:cs="宋体"/>
                <w:color w:val="000000"/>
                <w:sz w:val="22"/>
                <w:szCs w:val="22"/>
              </w:rPr>
            </w:pPr>
            <w:r>
              <w:rPr>
                <w:rFonts w:hint="eastAsia" w:ascii="宋体" w:hAnsi="宋体" w:cs="宋体"/>
                <w:color w:val="000000"/>
                <w:sz w:val="22"/>
                <w:szCs w:val="22"/>
              </w:rPr>
              <w:t>7</w:t>
            </w:r>
          </w:p>
        </w:tc>
        <w:tc>
          <w:tcPr>
            <w:tcW w:w="2722" w:type="dxa"/>
            <w:tcBorders>
              <w:top w:val="nil"/>
              <w:left w:val="nil"/>
              <w:bottom w:val="single" w:color="auto" w:sz="4" w:space="0"/>
              <w:right w:val="single" w:color="auto" w:sz="4" w:space="0"/>
            </w:tcBorders>
            <w:vAlign w:val="center"/>
          </w:tcPr>
          <w:p w14:paraId="3A2DCCA7">
            <w:pPr>
              <w:rPr>
                <w:rFonts w:hint="eastAsia" w:ascii="宋体" w:hAnsi="宋体" w:cs="宋体"/>
                <w:color w:val="000000"/>
                <w:sz w:val="22"/>
                <w:szCs w:val="22"/>
              </w:rPr>
            </w:pPr>
            <w:r>
              <w:rPr>
                <w:rFonts w:hint="eastAsia" w:ascii="宋体" w:hAnsi="宋体" w:cs="宋体"/>
                <w:color w:val="000000"/>
                <w:sz w:val="22"/>
                <w:szCs w:val="22"/>
              </w:rPr>
              <w:t>新增基础、</w:t>
            </w:r>
            <w:r>
              <w:rPr>
                <w:rFonts w:ascii="宋体" w:hAnsi="宋体" w:cs="宋体"/>
                <w:color w:val="000000"/>
                <w:sz w:val="22"/>
                <w:szCs w:val="22"/>
              </w:rPr>
              <w:t>支架</w:t>
            </w:r>
            <w:r>
              <w:rPr>
                <w:rFonts w:hint="eastAsia" w:ascii="宋体" w:hAnsi="宋体" w:cs="宋体"/>
                <w:color w:val="000000"/>
                <w:sz w:val="22"/>
                <w:szCs w:val="22"/>
              </w:rPr>
              <w:t>、</w:t>
            </w:r>
            <w:r>
              <w:rPr>
                <w:rFonts w:ascii="宋体" w:hAnsi="宋体" w:cs="宋体"/>
                <w:color w:val="000000"/>
                <w:sz w:val="22"/>
                <w:szCs w:val="22"/>
              </w:rPr>
              <w:t>平台等</w:t>
            </w:r>
          </w:p>
        </w:tc>
        <w:tc>
          <w:tcPr>
            <w:tcW w:w="720" w:type="dxa"/>
            <w:tcBorders>
              <w:top w:val="nil"/>
              <w:left w:val="nil"/>
              <w:bottom w:val="single" w:color="auto" w:sz="4" w:space="0"/>
              <w:right w:val="single" w:color="auto" w:sz="4" w:space="0"/>
            </w:tcBorders>
            <w:vAlign w:val="center"/>
          </w:tcPr>
          <w:p w14:paraId="0A10F2FF">
            <w:pPr>
              <w:jc w:val="center"/>
              <w:rPr>
                <w:rFonts w:hint="eastAsia" w:ascii="宋体" w:hAnsi="宋体" w:cs="宋体"/>
                <w:color w:val="000000"/>
                <w:sz w:val="22"/>
                <w:szCs w:val="22"/>
              </w:rPr>
            </w:pPr>
            <w:r>
              <w:rPr>
                <w:rFonts w:hint="eastAsia" w:ascii="宋体" w:hAnsi="宋体" w:cs="宋体"/>
                <w:color w:val="000000"/>
                <w:sz w:val="22"/>
                <w:szCs w:val="22"/>
              </w:rPr>
              <w:t>1</w:t>
            </w:r>
          </w:p>
        </w:tc>
        <w:tc>
          <w:tcPr>
            <w:tcW w:w="1230" w:type="dxa"/>
            <w:tcBorders>
              <w:top w:val="nil"/>
              <w:left w:val="nil"/>
              <w:bottom w:val="single" w:color="auto" w:sz="4" w:space="0"/>
              <w:right w:val="single" w:color="auto" w:sz="4" w:space="0"/>
            </w:tcBorders>
            <w:vAlign w:val="center"/>
          </w:tcPr>
          <w:p w14:paraId="4746C953">
            <w:pPr>
              <w:jc w:val="center"/>
              <w:rPr>
                <w:rFonts w:hint="eastAsia" w:ascii="宋体" w:hAnsi="宋体" w:cs="宋体"/>
                <w:color w:val="000000"/>
                <w:sz w:val="22"/>
                <w:szCs w:val="22"/>
              </w:rPr>
            </w:pPr>
            <w:r>
              <w:rPr>
                <w:rFonts w:hint="eastAsia" w:ascii="宋体" w:hAnsi="宋体" w:cs="宋体"/>
                <w:color w:val="000000"/>
                <w:sz w:val="22"/>
                <w:szCs w:val="22"/>
              </w:rPr>
              <w:t>批</w:t>
            </w:r>
          </w:p>
        </w:tc>
        <w:tc>
          <w:tcPr>
            <w:tcW w:w="1643" w:type="dxa"/>
            <w:tcBorders>
              <w:top w:val="nil"/>
              <w:left w:val="nil"/>
              <w:bottom w:val="single" w:color="auto" w:sz="4" w:space="0"/>
              <w:right w:val="single" w:color="auto" w:sz="4" w:space="0"/>
            </w:tcBorders>
            <w:vAlign w:val="center"/>
          </w:tcPr>
          <w:p w14:paraId="01A640D6">
            <w:pPr>
              <w:ind w:firstLine="1100" w:firstLineChars="500"/>
              <w:jc w:val="both"/>
              <w:rPr>
                <w:rFonts w:hint="eastAsia" w:ascii="宋体" w:hAnsi="宋体" w:cs="宋体"/>
                <w:color w:val="000000"/>
                <w:sz w:val="22"/>
                <w:szCs w:val="22"/>
              </w:rPr>
            </w:pPr>
          </w:p>
        </w:tc>
        <w:tc>
          <w:tcPr>
            <w:tcW w:w="1860" w:type="dxa"/>
            <w:tcBorders>
              <w:top w:val="nil"/>
              <w:left w:val="nil"/>
              <w:bottom w:val="single" w:color="auto" w:sz="4" w:space="0"/>
              <w:right w:val="single" w:color="auto" w:sz="4" w:space="0"/>
            </w:tcBorders>
            <w:vAlign w:val="center"/>
          </w:tcPr>
          <w:p w14:paraId="6211F063">
            <w:pPr>
              <w:ind w:firstLine="1100" w:firstLineChars="500"/>
              <w:jc w:val="both"/>
              <w:rPr>
                <w:rFonts w:hint="eastAsia" w:ascii="宋体" w:hAnsi="宋体" w:cs="宋体"/>
                <w:color w:val="000000"/>
                <w:sz w:val="22"/>
                <w:szCs w:val="22"/>
              </w:rPr>
            </w:pPr>
          </w:p>
        </w:tc>
      </w:tr>
      <w:tr w14:paraId="02C4A3FC">
        <w:tblPrEx>
          <w:tblCellMar>
            <w:top w:w="0" w:type="dxa"/>
            <w:left w:w="108" w:type="dxa"/>
            <w:bottom w:w="0" w:type="dxa"/>
            <w:right w:w="108" w:type="dxa"/>
          </w:tblCellMar>
        </w:tblPrEx>
        <w:trPr>
          <w:trHeight w:val="167" w:hRule="atLeast"/>
          <w:jc w:val="center"/>
        </w:trPr>
        <w:tc>
          <w:tcPr>
            <w:tcW w:w="720" w:type="dxa"/>
            <w:tcBorders>
              <w:top w:val="nil"/>
              <w:left w:val="single" w:color="auto" w:sz="4" w:space="0"/>
              <w:bottom w:val="single" w:color="auto" w:sz="4" w:space="0"/>
              <w:right w:val="single" w:color="auto" w:sz="4" w:space="0"/>
            </w:tcBorders>
            <w:noWrap/>
            <w:vAlign w:val="bottom"/>
          </w:tcPr>
          <w:p w14:paraId="60260BB3">
            <w:pPr>
              <w:jc w:val="center"/>
              <w:rPr>
                <w:rFonts w:hint="eastAsia" w:ascii="宋体" w:hAnsi="宋体" w:cs="宋体"/>
                <w:color w:val="000000"/>
                <w:sz w:val="22"/>
                <w:szCs w:val="22"/>
              </w:rPr>
            </w:pPr>
            <w:r>
              <w:rPr>
                <w:rFonts w:hint="eastAsia" w:ascii="宋体" w:hAnsi="宋体" w:cs="宋体"/>
                <w:color w:val="000000"/>
                <w:sz w:val="22"/>
                <w:szCs w:val="22"/>
              </w:rPr>
              <w:t>8</w:t>
            </w:r>
          </w:p>
        </w:tc>
        <w:tc>
          <w:tcPr>
            <w:tcW w:w="2722" w:type="dxa"/>
            <w:tcBorders>
              <w:top w:val="nil"/>
              <w:left w:val="nil"/>
              <w:bottom w:val="single" w:color="auto" w:sz="4" w:space="0"/>
              <w:right w:val="single" w:color="auto" w:sz="4" w:space="0"/>
            </w:tcBorders>
            <w:vAlign w:val="center"/>
          </w:tcPr>
          <w:p w14:paraId="2E9BC98A">
            <w:pPr>
              <w:rPr>
                <w:rFonts w:hint="eastAsia" w:ascii="宋体" w:hAnsi="宋体" w:cs="宋体"/>
                <w:color w:val="000000"/>
                <w:sz w:val="22"/>
                <w:szCs w:val="22"/>
              </w:rPr>
            </w:pPr>
            <w:r>
              <w:rPr>
                <w:rFonts w:ascii="宋体" w:hAnsi="宋体" w:cs="宋体"/>
                <w:color w:val="000000"/>
                <w:sz w:val="22"/>
                <w:szCs w:val="22"/>
              </w:rPr>
              <w:t>涉及电器设施安装</w:t>
            </w:r>
          </w:p>
        </w:tc>
        <w:tc>
          <w:tcPr>
            <w:tcW w:w="720" w:type="dxa"/>
            <w:tcBorders>
              <w:top w:val="nil"/>
              <w:left w:val="nil"/>
              <w:bottom w:val="single" w:color="auto" w:sz="4" w:space="0"/>
              <w:right w:val="single" w:color="auto" w:sz="4" w:space="0"/>
            </w:tcBorders>
            <w:vAlign w:val="center"/>
          </w:tcPr>
          <w:p w14:paraId="298F821C">
            <w:pPr>
              <w:jc w:val="center"/>
              <w:rPr>
                <w:rFonts w:hint="eastAsia" w:ascii="宋体" w:hAnsi="宋体" w:cs="宋体"/>
                <w:color w:val="000000"/>
                <w:sz w:val="22"/>
                <w:szCs w:val="22"/>
              </w:rPr>
            </w:pPr>
            <w:r>
              <w:rPr>
                <w:rFonts w:ascii="宋体" w:hAnsi="宋体" w:cs="宋体"/>
                <w:color w:val="000000"/>
                <w:sz w:val="22"/>
                <w:szCs w:val="22"/>
              </w:rPr>
              <w:t>2</w:t>
            </w:r>
          </w:p>
        </w:tc>
        <w:tc>
          <w:tcPr>
            <w:tcW w:w="1230" w:type="dxa"/>
            <w:tcBorders>
              <w:top w:val="nil"/>
              <w:left w:val="nil"/>
              <w:bottom w:val="single" w:color="auto" w:sz="4" w:space="0"/>
              <w:right w:val="single" w:color="auto" w:sz="4" w:space="0"/>
            </w:tcBorders>
            <w:vAlign w:val="center"/>
          </w:tcPr>
          <w:p w14:paraId="017F30E3">
            <w:pPr>
              <w:jc w:val="center"/>
              <w:rPr>
                <w:rFonts w:hint="eastAsia" w:ascii="宋体" w:hAnsi="宋体" w:cs="宋体"/>
                <w:color w:val="000000"/>
                <w:sz w:val="22"/>
                <w:szCs w:val="22"/>
              </w:rPr>
            </w:pPr>
            <w:r>
              <w:rPr>
                <w:rFonts w:ascii="宋体" w:hAnsi="宋体" w:cs="宋体"/>
                <w:color w:val="000000"/>
                <w:sz w:val="22"/>
                <w:szCs w:val="22"/>
              </w:rPr>
              <w:t>套</w:t>
            </w:r>
          </w:p>
        </w:tc>
        <w:tc>
          <w:tcPr>
            <w:tcW w:w="1643" w:type="dxa"/>
            <w:tcBorders>
              <w:top w:val="nil"/>
              <w:left w:val="nil"/>
              <w:bottom w:val="single" w:color="auto" w:sz="4" w:space="0"/>
              <w:right w:val="single" w:color="auto" w:sz="4" w:space="0"/>
            </w:tcBorders>
            <w:vAlign w:val="center"/>
          </w:tcPr>
          <w:p w14:paraId="0783173C">
            <w:pPr>
              <w:jc w:val="center"/>
              <w:rPr>
                <w:rFonts w:hint="eastAsia" w:ascii="宋体" w:hAnsi="宋体" w:cs="宋体"/>
                <w:color w:val="000000"/>
                <w:sz w:val="22"/>
                <w:szCs w:val="22"/>
              </w:rPr>
            </w:pPr>
          </w:p>
        </w:tc>
        <w:tc>
          <w:tcPr>
            <w:tcW w:w="1860" w:type="dxa"/>
            <w:tcBorders>
              <w:top w:val="nil"/>
              <w:left w:val="nil"/>
              <w:bottom w:val="single" w:color="auto" w:sz="4" w:space="0"/>
              <w:right w:val="single" w:color="auto" w:sz="4" w:space="0"/>
            </w:tcBorders>
            <w:vAlign w:val="center"/>
          </w:tcPr>
          <w:p w14:paraId="4B1F1710">
            <w:pPr>
              <w:jc w:val="center"/>
              <w:rPr>
                <w:rFonts w:hint="eastAsia" w:ascii="宋体" w:hAnsi="宋体" w:cs="宋体"/>
                <w:color w:val="000000"/>
                <w:sz w:val="22"/>
                <w:szCs w:val="22"/>
              </w:rPr>
            </w:pPr>
          </w:p>
        </w:tc>
      </w:tr>
      <w:tr w14:paraId="3A549F54">
        <w:tblPrEx>
          <w:tblCellMar>
            <w:top w:w="0" w:type="dxa"/>
            <w:left w:w="108" w:type="dxa"/>
            <w:bottom w:w="0" w:type="dxa"/>
            <w:right w:w="108" w:type="dxa"/>
          </w:tblCellMar>
        </w:tblPrEx>
        <w:trPr>
          <w:trHeight w:val="167" w:hRule="atLeast"/>
          <w:jc w:val="center"/>
        </w:trPr>
        <w:tc>
          <w:tcPr>
            <w:tcW w:w="720" w:type="dxa"/>
            <w:tcBorders>
              <w:top w:val="nil"/>
              <w:left w:val="single" w:color="auto" w:sz="4" w:space="0"/>
              <w:bottom w:val="single" w:color="auto" w:sz="4" w:space="0"/>
              <w:right w:val="single" w:color="auto" w:sz="4" w:space="0"/>
            </w:tcBorders>
            <w:noWrap/>
            <w:vAlign w:val="bottom"/>
          </w:tcPr>
          <w:p w14:paraId="4CD3AA33">
            <w:pPr>
              <w:jc w:val="center"/>
              <w:rPr>
                <w:rFonts w:hint="eastAsia" w:ascii="宋体" w:hAnsi="宋体" w:cs="宋体"/>
                <w:color w:val="000000"/>
                <w:sz w:val="22"/>
                <w:szCs w:val="22"/>
              </w:rPr>
            </w:pPr>
            <w:r>
              <w:rPr>
                <w:rFonts w:hint="eastAsia" w:ascii="宋体" w:hAnsi="宋体" w:cs="宋体"/>
                <w:color w:val="000000"/>
                <w:sz w:val="22"/>
                <w:szCs w:val="22"/>
              </w:rPr>
              <w:t>9</w:t>
            </w:r>
          </w:p>
        </w:tc>
        <w:tc>
          <w:tcPr>
            <w:tcW w:w="2722" w:type="dxa"/>
            <w:tcBorders>
              <w:top w:val="nil"/>
              <w:left w:val="nil"/>
              <w:bottom w:val="single" w:color="auto" w:sz="4" w:space="0"/>
              <w:right w:val="single" w:color="auto" w:sz="4" w:space="0"/>
            </w:tcBorders>
            <w:vAlign w:val="center"/>
          </w:tcPr>
          <w:p w14:paraId="6F355472">
            <w:pPr>
              <w:rPr>
                <w:rFonts w:hint="eastAsia" w:ascii="宋体" w:hAnsi="宋体" w:cs="宋体"/>
                <w:color w:val="000000"/>
                <w:sz w:val="22"/>
                <w:szCs w:val="22"/>
              </w:rPr>
            </w:pPr>
            <w:r>
              <w:rPr>
                <w:rFonts w:ascii="宋体" w:hAnsi="宋体" w:cs="宋体"/>
                <w:color w:val="000000"/>
                <w:sz w:val="22"/>
                <w:szCs w:val="22"/>
              </w:rPr>
              <w:t>系统排及加注液氨</w:t>
            </w:r>
          </w:p>
        </w:tc>
        <w:tc>
          <w:tcPr>
            <w:tcW w:w="720" w:type="dxa"/>
            <w:tcBorders>
              <w:top w:val="nil"/>
              <w:left w:val="nil"/>
              <w:bottom w:val="single" w:color="auto" w:sz="4" w:space="0"/>
              <w:right w:val="single" w:color="auto" w:sz="4" w:space="0"/>
            </w:tcBorders>
            <w:vAlign w:val="center"/>
          </w:tcPr>
          <w:p w14:paraId="6BF59C29">
            <w:pPr>
              <w:jc w:val="center"/>
              <w:rPr>
                <w:rFonts w:hint="eastAsia" w:ascii="宋体" w:hAnsi="宋体" w:cs="宋体"/>
                <w:color w:val="000000"/>
                <w:sz w:val="22"/>
                <w:szCs w:val="22"/>
              </w:rPr>
            </w:pPr>
            <w:r>
              <w:rPr>
                <w:rFonts w:ascii="宋体" w:hAnsi="宋体" w:cs="宋体"/>
                <w:color w:val="000000"/>
                <w:sz w:val="22"/>
                <w:szCs w:val="22"/>
              </w:rPr>
              <w:t>1</w:t>
            </w:r>
          </w:p>
        </w:tc>
        <w:tc>
          <w:tcPr>
            <w:tcW w:w="1230" w:type="dxa"/>
            <w:tcBorders>
              <w:top w:val="nil"/>
              <w:left w:val="nil"/>
              <w:bottom w:val="single" w:color="auto" w:sz="4" w:space="0"/>
              <w:right w:val="single" w:color="auto" w:sz="4" w:space="0"/>
            </w:tcBorders>
            <w:vAlign w:val="center"/>
          </w:tcPr>
          <w:p w14:paraId="4874CFBF">
            <w:pPr>
              <w:jc w:val="center"/>
              <w:rPr>
                <w:rFonts w:hint="eastAsia" w:ascii="宋体" w:hAnsi="宋体" w:cs="宋体"/>
                <w:color w:val="000000"/>
                <w:sz w:val="22"/>
                <w:szCs w:val="22"/>
              </w:rPr>
            </w:pPr>
            <w:r>
              <w:rPr>
                <w:rFonts w:ascii="宋体" w:hAnsi="宋体" w:cs="宋体"/>
                <w:color w:val="000000"/>
                <w:sz w:val="22"/>
                <w:szCs w:val="22"/>
              </w:rPr>
              <w:t>套</w:t>
            </w:r>
          </w:p>
        </w:tc>
        <w:tc>
          <w:tcPr>
            <w:tcW w:w="1643" w:type="dxa"/>
            <w:tcBorders>
              <w:top w:val="nil"/>
              <w:left w:val="nil"/>
              <w:bottom w:val="single" w:color="auto" w:sz="4" w:space="0"/>
              <w:right w:val="single" w:color="auto" w:sz="4" w:space="0"/>
            </w:tcBorders>
            <w:vAlign w:val="center"/>
          </w:tcPr>
          <w:p w14:paraId="4452C028">
            <w:pPr>
              <w:jc w:val="center"/>
              <w:rPr>
                <w:rFonts w:hint="eastAsia" w:ascii="宋体" w:hAnsi="宋体" w:cs="宋体"/>
                <w:color w:val="000000"/>
                <w:sz w:val="22"/>
                <w:szCs w:val="22"/>
              </w:rPr>
            </w:pPr>
          </w:p>
        </w:tc>
        <w:tc>
          <w:tcPr>
            <w:tcW w:w="1860" w:type="dxa"/>
            <w:tcBorders>
              <w:top w:val="nil"/>
              <w:left w:val="nil"/>
              <w:bottom w:val="single" w:color="auto" w:sz="4" w:space="0"/>
              <w:right w:val="single" w:color="auto" w:sz="4" w:space="0"/>
            </w:tcBorders>
            <w:vAlign w:val="center"/>
          </w:tcPr>
          <w:p w14:paraId="35A29C58">
            <w:pPr>
              <w:jc w:val="center"/>
              <w:rPr>
                <w:rFonts w:hint="eastAsia" w:ascii="宋体" w:hAnsi="宋体" w:cs="宋体"/>
                <w:color w:val="000000"/>
                <w:sz w:val="22"/>
                <w:szCs w:val="22"/>
              </w:rPr>
            </w:pPr>
          </w:p>
        </w:tc>
      </w:tr>
      <w:tr w14:paraId="5F1F5374">
        <w:tblPrEx>
          <w:tblCellMar>
            <w:top w:w="0" w:type="dxa"/>
            <w:left w:w="108" w:type="dxa"/>
            <w:bottom w:w="0" w:type="dxa"/>
            <w:right w:w="108" w:type="dxa"/>
          </w:tblCellMar>
        </w:tblPrEx>
        <w:trPr>
          <w:trHeight w:val="167" w:hRule="atLeast"/>
          <w:jc w:val="center"/>
        </w:trPr>
        <w:tc>
          <w:tcPr>
            <w:tcW w:w="720" w:type="dxa"/>
            <w:tcBorders>
              <w:top w:val="nil"/>
              <w:left w:val="single" w:color="auto" w:sz="4" w:space="0"/>
              <w:bottom w:val="single" w:color="auto" w:sz="4" w:space="0"/>
              <w:right w:val="single" w:color="auto" w:sz="4" w:space="0"/>
            </w:tcBorders>
            <w:noWrap/>
            <w:vAlign w:val="bottom"/>
          </w:tcPr>
          <w:p w14:paraId="5B713EAB">
            <w:pPr>
              <w:jc w:val="center"/>
              <w:rPr>
                <w:rFonts w:hint="eastAsia" w:ascii="宋体" w:hAnsi="宋体" w:cs="宋体"/>
                <w:color w:val="000000"/>
                <w:sz w:val="22"/>
                <w:szCs w:val="22"/>
              </w:rPr>
            </w:pPr>
            <w:r>
              <w:rPr>
                <w:rFonts w:hint="eastAsia" w:ascii="宋体" w:hAnsi="宋体" w:cs="宋体"/>
                <w:color w:val="000000"/>
                <w:sz w:val="22"/>
                <w:szCs w:val="22"/>
              </w:rPr>
              <w:t>10</w:t>
            </w:r>
          </w:p>
        </w:tc>
        <w:tc>
          <w:tcPr>
            <w:tcW w:w="2722" w:type="dxa"/>
            <w:tcBorders>
              <w:top w:val="nil"/>
              <w:left w:val="nil"/>
              <w:bottom w:val="single" w:color="auto" w:sz="4" w:space="0"/>
              <w:right w:val="single" w:color="auto" w:sz="4" w:space="0"/>
            </w:tcBorders>
            <w:vAlign w:val="center"/>
          </w:tcPr>
          <w:p w14:paraId="227E0834">
            <w:pPr>
              <w:rPr>
                <w:rFonts w:hint="eastAsia" w:ascii="宋体" w:hAnsi="宋体" w:cs="宋体"/>
                <w:color w:val="000000"/>
                <w:sz w:val="22"/>
                <w:szCs w:val="22"/>
              </w:rPr>
            </w:pPr>
            <w:r>
              <w:rPr>
                <w:rFonts w:ascii="宋体" w:hAnsi="宋体" w:cs="宋体"/>
                <w:color w:val="000000"/>
                <w:sz w:val="22"/>
                <w:szCs w:val="22"/>
              </w:rPr>
              <w:t>系统整体调试</w:t>
            </w:r>
          </w:p>
        </w:tc>
        <w:tc>
          <w:tcPr>
            <w:tcW w:w="720" w:type="dxa"/>
            <w:tcBorders>
              <w:top w:val="nil"/>
              <w:left w:val="nil"/>
              <w:bottom w:val="single" w:color="auto" w:sz="4" w:space="0"/>
              <w:right w:val="single" w:color="auto" w:sz="4" w:space="0"/>
            </w:tcBorders>
            <w:vAlign w:val="center"/>
          </w:tcPr>
          <w:p w14:paraId="580D83D0">
            <w:pPr>
              <w:jc w:val="center"/>
              <w:rPr>
                <w:rFonts w:hint="eastAsia" w:ascii="宋体" w:hAnsi="宋体" w:cs="宋体"/>
                <w:color w:val="000000"/>
                <w:sz w:val="22"/>
                <w:szCs w:val="22"/>
              </w:rPr>
            </w:pPr>
            <w:r>
              <w:rPr>
                <w:rFonts w:ascii="宋体" w:hAnsi="宋体" w:cs="宋体"/>
                <w:color w:val="000000"/>
                <w:sz w:val="22"/>
                <w:szCs w:val="22"/>
              </w:rPr>
              <w:t>1</w:t>
            </w:r>
          </w:p>
        </w:tc>
        <w:tc>
          <w:tcPr>
            <w:tcW w:w="1230" w:type="dxa"/>
            <w:tcBorders>
              <w:top w:val="nil"/>
              <w:left w:val="nil"/>
              <w:bottom w:val="single" w:color="auto" w:sz="4" w:space="0"/>
              <w:right w:val="single" w:color="auto" w:sz="4" w:space="0"/>
            </w:tcBorders>
            <w:vAlign w:val="center"/>
          </w:tcPr>
          <w:p w14:paraId="1986A2FF">
            <w:pPr>
              <w:jc w:val="center"/>
              <w:rPr>
                <w:rFonts w:hint="eastAsia" w:ascii="宋体" w:hAnsi="宋体" w:cs="宋体"/>
                <w:color w:val="000000"/>
                <w:sz w:val="22"/>
                <w:szCs w:val="22"/>
              </w:rPr>
            </w:pPr>
            <w:r>
              <w:rPr>
                <w:rFonts w:ascii="宋体" w:hAnsi="宋体" w:cs="宋体"/>
                <w:color w:val="000000"/>
                <w:sz w:val="22"/>
                <w:szCs w:val="22"/>
              </w:rPr>
              <w:t>套</w:t>
            </w:r>
          </w:p>
        </w:tc>
        <w:tc>
          <w:tcPr>
            <w:tcW w:w="1643" w:type="dxa"/>
            <w:tcBorders>
              <w:top w:val="nil"/>
              <w:left w:val="nil"/>
              <w:bottom w:val="single" w:color="auto" w:sz="4" w:space="0"/>
              <w:right w:val="single" w:color="auto" w:sz="4" w:space="0"/>
            </w:tcBorders>
            <w:vAlign w:val="center"/>
          </w:tcPr>
          <w:p w14:paraId="5D27E1B5">
            <w:pPr>
              <w:jc w:val="center"/>
              <w:rPr>
                <w:rFonts w:hint="eastAsia" w:ascii="宋体" w:hAnsi="宋体" w:cs="宋体"/>
                <w:color w:val="000000"/>
                <w:sz w:val="22"/>
                <w:szCs w:val="22"/>
              </w:rPr>
            </w:pPr>
          </w:p>
        </w:tc>
        <w:tc>
          <w:tcPr>
            <w:tcW w:w="1860" w:type="dxa"/>
            <w:tcBorders>
              <w:top w:val="nil"/>
              <w:left w:val="nil"/>
              <w:bottom w:val="single" w:color="auto" w:sz="4" w:space="0"/>
              <w:right w:val="single" w:color="auto" w:sz="4" w:space="0"/>
            </w:tcBorders>
            <w:vAlign w:val="center"/>
          </w:tcPr>
          <w:p w14:paraId="5E0ACB1F">
            <w:pPr>
              <w:jc w:val="center"/>
              <w:rPr>
                <w:rFonts w:hint="eastAsia" w:ascii="宋体" w:hAnsi="宋体" w:cs="宋体"/>
                <w:color w:val="000000"/>
                <w:sz w:val="22"/>
                <w:szCs w:val="22"/>
              </w:rPr>
            </w:pPr>
          </w:p>
        </w:tc>
      </w:tr>
      <w:tr w14:paraId="1320AE7F">
        <w:tblPrEx>
          <w:tblCellMar>
            <w:top w:w="0" w:type="dxa"/>
            <w:left w:w="108" w:type="dxa"/>
            <w:bottom w:w="0" w:type="dxa"/>
            <w:right w:w="108" w:type="dxa"/>
          </w:tblCellMar>
        </w:tblPrEx>
        <w:trPr>
          <w:trHeight w:val="167" w:hRule="atLeast"/>
          <w:jc w:val="center"/>
        </w:trPr>
        <w:tc>
          <w:tcPr>
            <w:tcW w:w="720" w:type="dxa"/>
            <w:tcBorders>
              <w:top w:val="nil"/>
              <w:left w:val="single" w:color="auto" w:sz="4" w:space="0"/>
              <w:bottom w:val="single" w:color="auto" w:sz="4" w:space="0"/>
              <w:right w:val="single" w:color="auto" w:sz="4" w:space="0"/>
            </w:tcBorders>
            <w:noWrap/>
            <w:vAlign w:val="bottom"/>
          </w:tcPr>
          <w:p w14:paraId="4FD17842">
            <w:pPr>
              <w:jc w:val="center"/>
              <w:rPr>
                <w:rFonts w:hint="eastAsia" w:ascii="宋体" w:hAnsi="宋体" w:cs="宋体"/>
                <w:color w:val="000000"/>
                <w:sz w:val="22"/>
                <w:szCs w:val="22"/>
              </w:rPr>
            </w:pPr>
            <w:r>
              <w:rPr>
                <w:rFonts w:hint="eastAsia" w:ascii="宋体" w:hAnsi="宋体" w:cs="宋体"/>
                <w:color w:val="000000"/>
                <w:sz w:val="22"/>
                <w:szCs w:val="22"/>
              </w:rPr>
              <w:t>11</w:t>
            </w:r>
          </w:p>
        </w:tc>
        <w:tc>
          <w:tcPr>
            <w:tcW w:w="2722" w:type="dxa"/>
            <w:tcBorders>
              <w:top w:val="nil"/>
              <w:left w:val="nil"/>
              <w:bottom w:val="single" w:color="auto" w:sz="4" w:space="0"/>
              <w:right w:val="single" w:color="auto" w:sz="4" w:space="0"/>
            </w:tcBorders>
            <w:vAlign w:val="center"/>
          </w:tcPr>
          <w:p w14:paraId="31FF6421">
            <w:pPr>
              <w:rPr>
                <w:rFonts w:hint="eastAsia" w:ascii="宋体" w:hAnsi="宋体" w:cs="宋体"/>
                <w:color w:val="000000"/>
                <w:sz w:val="22"/>
                <w:szCs w:val="22"/>
              </w:rPr>
            </w:pPr>
            <w:r>
              <w:rPr>
                <w:rFonts w:ascii="宋体" w:hAnsi="宋体" w:cs="宋体"/>
                <w:color w:val="000000"/>
                <w:sz w:val="22"/>
                <w:szCs w:val="22"/>
              </w:rPr>
              <w:t>新增压力容器报检</w:t>
            </w:r>
          </w:p>
        </w:tc>
        <w:tc>
          <w:tcPr>
            <w:tcW w:w="720" w:type="dxa"/>
            <w:tcBorders>
              <w:top w:val="nil"/>
              <w:left w:val="nil"/>
              <w:bottom w:val="single" w:color="auto" w:sz="4" w:space="0"/>
              <w:right w:val="single" w:color="auto" w:sz="4" w:space="0"/>
            </w:tcBorders>
            <w:vAlign w:val="center"/>
          </w:tcPr>
          <w:p w14:paraId="2DB10BE6">
            <w:pPr>
              <w:jc w:val="center"/>
              <w:rPr>
                <w:rFonts w:hint="eastAsia" w:ascii="宋体" w:hAnsi="宋体" w:cs="宋体"/>
                <w:color w:val="000000"/>
                <w:sz w:val="22"/>
                <w:szCs w:val="22"/>
              </w:rPr>
            </w:pPr>
            <w:r>
              <w:rPr>
                <w:rFonts w:ascii="宋体" w:hAnsi="宋体" w:cs="宋体"/>
                <w:color w:val="000000"/>
                <w:sz w:val="22"/>
                <w:szCs w:val="22"/>
              </w:rPr>
              <w:t>1</w:t>
            </w:r>
          </w:p>
        </w:tc>
        <w:tc>
          <w:tcPr>
            <w:tcW w:w="1230" w:type="dxa"/>
            <w:tcBorders>
              <w:top w:val="nil"/>
              <w:left w:val="nil"/>
              <w:bottom w:val="single" w:color="auto" w:sz="4" w:space="0"/>
              <w:right w:val="single" w:color="auto" w:sz="4" w:space="0"/>
            </w:tcBorders>
            <w:vAlign w:val="center"/>
          </w:tcPr>
          <w:p w14:paraId="7C223C16">
            <w:pPr>
              <w:jc w:val="center"/>
              <w:rPr>
                <w:rFonts w:hint="eastAsia" w:ascii="宋体" w:hAnsi="宋体" w:cs="宋体"/>
                <w:color w:val="000000"/>
                <w:sz w:val="22"/>
                <w:szCs w:val="22"/>
              </w:rPr>
            </w:pPr>
            <w:r>
              <w:rPr>
                <w:rFonts w:ascii="宋体" w:hAnsi="宋体" w:cs="宋体"/>
                <w:color w:val="000000"/>
                <w:sz w:val="22"/>
                <w:szCs w:val="22"/>
              </w:rPr>
              <w:t>套</w:t>
            </w:r>
          </w:p>
        </w:tc>
        <w:tc>
          <w:tcPr>
            <w:tcW w:w="1643" w:type="dxa"/>
            <w:tcBorders>
              <w:top w:val="nil"/>
              <w:left w:val="nil"/>
              <w:bottom w:val="single" w:color="auto" w:sz="4" w:space="0"/>
              <w:right w:val="single" w:color="auto" w:sz="4" w:space="0"/>
            </w:tcBorders>
            <w:vAlign w:val="center"/>
          </w:tcPr>
          <w:p w14:paraId="48680769">
            <w:pPr>
              <w:jc w:val="center"/>
              <w:rPr>
                <w:rFonts w:hint="eastAsia" w:ascii="宋体" w:hAnsi="宋体" w:cs="宋体"/>
                <w:color w:val="000000"/>
                <w:sz w:val="22"/>
                <w:szCs w:val="22"/>
              </w:rPr>
            </w:pPr>
          </w:p>
        </w:tc>
        <w:tc>
          <w:tcPr>
            <w:tcW w:w="1860" w:type="dxa"/>
            <w:tcBorders>
              <w:top w:val="nil"/>
              <w:left w:val="nil"/>
              <w:bottom w:val="single" w:color="auto" w:sz="4" w:space="0"/>
              <w:right w:val="single" w:color="auto" w:sz="4" w:space="0"/>
            </w:tcBorders>
            <w:vAlign w:val="center"/>
          </w:tcPr>
          <w:p w14:paraId="59F124E1">
            <w:pPr>
              <w:jc w:val="center"/>
              <w:rPr>
                <w:rFonts w:hint="eastAsia" w:ascii="宋体" w:hAnsi="宋体" w:cs="宋体"/>
                <w:color w:val="000000"/>
                <w:sz w:val="22"/>
                <w:szCs w:val="22"/>
              </w:rPr>
            </w:pPr>
          </w:p>
        </w:tc>
      </w:tr>
      <w:tr w14:paraId="28A15F9F">
        <w:tblPrEx>
          <w:tblCellMar>
            <w:top w:w="0" w:type="dxa"/>
            <w:left w:w="108" w:type="dxa"/>
            <w:bottom w:w="0" w:type="dxa"/>
            <w:right w:w="108" w:type="dxa"/>
          </w:tblCellMar>
        </w:tblPrEx>
        <w:trPr>
          <w:trHeight w:val="552" w:hRule="atLeast"/>
          <w:jc w:val="center"/>
        </w:trPr>
        <w:tc>
          <w:tcPr>
            <w:tcW w:w="5392" w:type="dxa"/>
            <w:gridSpan w:val="4"/>
            <w:tcBorders>
              <w:top w:val="single" w:color="auto" w:sz="4" w:space="0"/>
              <w:left w:val="single" w:color="auto" w:sz="4" w:space="0"/>
              <w:bottom w:val="single" w:color="auto" w:sz="4" w:space="0"/>
              <w:right w:val="single" w:color="auto" w:sz="4" w:space="0"/>
            </w:tcBorders>
            <w:noWrap/>
            <w:vAlign w:val="bottom"/>
          </w:tcPr>
          <w:p w14:paraId="67D3010C">
            <w:pPr>
              <w:jc w:val="center"/>
              <w:rPr>
                <w:rFonts w:hint="eastAsia" w:ascii="宋体" w:hAnsi="宋体" w:cs="宋体"/>
                <w:color w:val="000000"/>
                <w:sz w:val="22"/>
                <w:szCs w:val="22"/>
              </w:rPr>
            </w:pPr>
            <w:r>
              <w:rPr>
                <w:rFonts w:hint="eastAsia" w:ascii="宋体" w:hAnsi="宋体" w:cs="宋体"/>
                <w:color w:val="000000"/>
                <w:sz w:val="22"/>
                <w:szCs w:val="22"/>
              </w:rPr>
              <w:t>合计</w:t>
            </w:r>
          </w:p>
        </w:tc>
        <w:tc>
          <w:tcPr>
            <w:tcW w:w="3503" w:type="dxa"/>
            <w:gridSpan w:val="2"/>
            <w:tcBorders>
              <w:top w:val="single" w:color="auto" w:sz="4" w:space="0"/>
              <w:left w:val="single" w:color="auto" w:sz="4" w:space="0"/>
              <w:bottom w:val="single" w:color="auto" w:sz="4" w:space="0"/>
              <w:right w:val="single" w:color="auto" w:sz="4" w:space="0"/>
            </w:tcBorders>
            <w:vAlign w:val="center"/>
          </w:tcPr>
          <w:p w14:paraId="24DC0B11">
            <w:pPr>
              <w:jc w:val="center"/>
              <w:rPr>
                <w:rFonts w:hint="eastAsia" w:ascii="宋体" w:hAnsi="宋体" w:cs="宋体"/>
                <w:color w:val="000000"/>
                <w:sz w:val="22"/>
                <w:szCs w:val="22"/>
              </w:rPr>
            </w:pPr>
          </w:p>
        </w:tc>
      </w:tr>
      <w:bookmarkEnd w:id="12"/>
    </w:tbl>
    <w:p w14:paraId="44887CCE">
      <w:pPr>
        <w:spacing w:line="360" w:lineRule="auto"/>
        <w:ind w:firstLine="420" w:firstLineChars="200"/>
        <w:jc w:val="both"/>
        <w:rPr>
          <w:rFonts w:ascii="宋体" w:hAnsi="宋体"/>
          <w:bCs/>
          <w:color w:val="000000"/>
          <w:sz w:val="21"/>
          <w:szCs w:val="21"/>
        </w:rPr>
      </w:pPr>
    </w:p>
    <w:p w14:paraId="7660CB44">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10、投标及报价要求：</w:t>
      </w:r>
    </w:p>
    <w:p w14:paraId="7A62E975">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10.1投标单位需按格式要求编制投标文件；（投标方可投报其中一个或多个标段）</w:t>
      </w:r>
    </w:p>
    <w:p w14:paraId="3FA33427">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10.2中标方不得将承包范围转包、分包或委托第三人，否则，视为严重违约，招标人有权拒付合同款项有权即时解除合同。</w:t>
      </w:r>
    </w:p>
    <w:p w14:paraId="73147F60">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10.3报价要求：投标单位需考虑投入的人工/设备/运输等成本、现场踏勘、其他风险、税率等产生的综合费用，按照报价单要求进行报价。</w:t>
      </w:r>
    </w:p>
    <w:p w14:paraId="74678374">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 xml:space="preserve">11、付款周期及方式： </w:t>
      </w:r>
    </w:p>
    <w:p w14:paraId="422AE377">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11.1付款周期：详见技术要求</w:t>
      </w:r>
    </w:p>
    <w:p w14:paraId="02651C7C">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11.2付款方式：公对公转账。</w:t>
      </w:r>
    </w:p>
    <w:p w14:paraId="7C0262C3">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12、发票要求：提供增值税专用发票；</w:t>
      </w:r>
    </w:p>
    <w:p w14:paraId="0293C902">
      <w:pPr>
        <w:spacing w:line="360" w:lineRule="auto"/>
        <w:ind w:firstLine="422" w:firstLineChars="200"/>
        <w:jc w:val="both"/>
        <w:rPr>
          <w:rFonts w:hint="eastAsia" w:ascii="宋体" w:hAnsi="宋体"/>
          <w:b/>
          <w:color w:val="000000"/>
          <w:sz w:val="21"/>
          <w:szCs w:val="21"/>
        </w:rPr>
      </w:pPr>
      <w:r>
        <w:rPr>
          <w:rFonts w:hint="eastAsia" w:ascii="宋体" w:hAnsi="宋体"/>
          <w:b/>
          <w:color w:val="000000"/>
          <w:sz w:val="21"/>
          <w:szCs w:val="21"/>
        </w:rPr>
        <w:t>二、投标单位资格要求：</w:t>
      </w:r>
    </w:p>
    <w:p w14:paraId="7A9306FF">
      <w:pPr>
        <w:spacing w:line="360" w:lineRule="auto"/>
        <w:ind w:firstLine="422" w:firstLineChars="200"/>
        <w:jc w:val="both"/>
        <w:rPr>
          <w:rFonts w:hint="eastAsia" w:ascii="宋体" w:hAnsi="宋体"/>
          <w:bCs/>
          <w:color w:val="000000"/>
          <w:sz w:val="21"/>
          <w:szCs w:val="21"/>
        </w:rPr>
      </w:pPr>
      <w:r>
        <w:rPr>
          <w:rFonts w:hint="eastAsia" w:ascii="宋体" w:hAnsi="宋体"/>
          <w:b/>
          <w:color w:val="000000"/>
          <w:sz w:val="21"/>
          <w:szCs w:val="21"/>
        </w:rPr>
        <w:t>1、营业执照</w:t>
      </w:r>
      <w:r>
        <w:rPr>
          <w:rFonts w:hint="eastAsia" w:ascii="宋体" w:hAnsi="宋体"/>
          <w:bCs/>
          <w:color w:val="000000"/>
          <w:sz w:val="21"/>
          <w:szCs w:val="21"/>
        </w:rPr>
        <w:t>：需在中华人民共和国境内具有</w:t>
      </w:r>
      <w:r>
        <w:rPr>
          <w:rFonts w:hint="eastAsia" w:ascii="宋体" w:hAnsi="宋体"/>
          <w:b/>
          <w:color w:val="000000"/>
          <w:sz w:val="21"/>
          <w:szCs w:val="21"/>
        </w:rPr>
        <w:t>独立法人资格</w:t>
      </w:r>
      <w:r>
        <w:rPr>
          <w:rFonts w:hint="eastAsia" w:ascii="宋体" w:hAnsi="宋体"/>
          <w:bCs/>
          <w:color w:val="000000"/>
          <w:sz w:val="21"/>
          <w:szCs w:val="21"/>
        </w:rPr>
        <w:t>，具有有效期内的营业执照，法人无不良记录；</w:t>
      </w:r>
    </w:p>
    <w:p w14:paraId="75806A75">
      <w:pPr>
        <w:spacing w:line="360" w:lineRule="auto"/>
        <w:ind w:firstLine="422" w:firstLineChars="200"/>
        <w:jc w:val="both"/>
        <w:rPr>
          <w:rFonts w:hint="eastAsia" w:ascii="宋体" w:hAnsi="宋体"/>
          <w:bCs/>
          <w:color w:val="000000"/>
          <w:sz w:val="21"/>
          <w:szCs w:val="21"/>
        </w:rPr>
      </w:pPr>
      <w:r>
        <w:rPr>
          <w:rFonts w:hint="eastAsia" w:ascii="宋体" w:hAnsi="宋体"/>
          <w:b/>
          <w:color w:val="000000"/>
          <w:sz w:val="21"/>
          <w:szCs w:val="21"/>
        </w:rPr>
        <w:t>2、</w:t>
      </w:r>
      <w:r>
        <w:rPr>
          <w:rFonts w:hint="eastAsia" w:ascii="宋体" w:hAnsi="宋体"/>
          <w:bCs/>
          <w:color w:val="000000"/>
          <w:sz w:val="21"/>
          <w:szCs w:val="21"/>
        </w:rPr>
        <w:t>单位负责人为同一人或者存在控股、管理关系的不同单位，不得参与同一标段或者未划分标段的同一招标项目投标；</w:t>
      </w:r>
    </w:p>
    <w:p w14:paraId="5A810B28">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3、具备机电安装三级、压力管道GC2及以上安装资质</w:t>
      </w:r>
    </w:p>
    <w:p w14:paraId="2395D2BA">
      <w:pPr>
        <w:numPr>
          <w:ilvl w:val="0"/>
          <w:numId w:val="3"/>
        </w:numPr>
        <w:spacing w:line="360" w:lineRule="auto"/>
        <w:ind w:firstLine="422" w:firstLineChars="200"/>
        <w:jc w:val="both"/>
        <w:rPr>
          <w:rFonts w:hint="eastAsia" w:ascii="宋体" w:hAnsi="宋体"/>
          <w:sz w:val="21"/>
          <w:szCs w:val="21"/>
        </w:rPr>
      </w:pPr>
      <w:r>
        <w:rPr>
          <w:rFonts w:hint="eastAsia" w:ascii="宋体" w:hAnsi="宋体"/>
          <w:b/>
          <w:color w:val="000000"/>
          <w:sz w:val="21"/>
          <w:szCs w:val="21"/>
        </w:rPr>
        <w:t>投标报名：</w:t>
      </w:r>
    </w:p>
    <w:p w14:paraId="45C1F134">
      <w:pPr>
        <w:spacing w:line="360" w:lineRule="auto"/>
        <w:ind w:firstLine="420" w:firstLineChars="200"/>
        <w:jc w:val="both"/>
        <w:rPr>
          <w:rFonts w:hint="eastAsia" w:ascii="宋体" w:hAnsi="宋体"/>
          <w:sz w:val="21"/>
          <w:szCs w:val="21"/>
        </w:rPr>
      </w:pPr>
      <w:r>
        <w:rPr>
          <w:rFonts w:hint="eastAsia" w:ascii="宋体" w:hAnsi="宋体"/>
          <w:sz w:val="21"/>
          <w:szCs w:val="21"/>
        </w:rPr>
        <w:t>3.1、</w:t>
      </w:r>
      <w:r>
        <w:rPr>
          <w:rFonts w:ascii="宋体" w:hAnsi="宋体"/>
          <w:sz w:val="21"/>
          <w:szCs w:val="21"/>
        </w:rPr>
        <w:t>报名资料：</w:t>
      </w:r>
      <w:r>
        <w:rPr>
          <w:rFonts w:ascii="宋体" w:hAnsi="宋体"/>
          <w:b/>
          <w:bCs/>
          <w:sz w:val="21"/>
          <w:szCs w:val="21"/>
        </w:rPr>
        <w:t>法定代表人授权委托书、被委托人身份证、营业执照</w:t>
      </w:r>
      <w:r>
        <w:rPr>
          <w:rFonts w:hint="eastAsia" w:ascii="宋体" w:hAnsi="宋体"/>
          <w:b/>
          <w:bCs/>
          <w:sz w:val="21"/>
          <w:szCs w:val="21"/>
        </w:rPr>
        <w:t>、具备机电安装三级、压力管道GC2及以上安装资质；</w:t>
      </w:r>
    </w:p>
    <w:p w14:paraId="3C4F243E">
      <w:pPr>
        <w:spacing w:line="360" w:lineRule="auto"/>
        <w:ind w:firstLine="420" w:firstLineChars="200"/>
        <w:jc w:val="both"/>
        <w:rPr>
          <w:rFonts w:hint="eastAsia" w:ascii="宋体" w:hAnsi="宋体"/>
          <w:sz w:val="21"/>
          <w:szCs w:val="21"/>
        </w:rPr>
      </w:pPr>
      <w:r>
        <w:rPr>
          <w:rFonts w:hint="eastAsia" w:ascii="宋体" w:hAnsi="宋体"/>
          <w:sz w:val="21"/>
          <w:szCs w:val="21"/>
        </w:rPr>
        <w:t>3.2、报名时间：</w:t>
      </w:r>
      <w:r>
        <w:rPr>
          <w:rFonts w:hint="eastAsia" w:ascii="宋体" w:hAnsi="宋体"/>
          <w:b/>
          <w:bCs/>
          <w:sz w:val="21"/>
          <w:szCs w:val="21"/>
        </w:rPr>
        <w:t>202</w:t>
      </w:r>
      <w:r>
        <w:rPr>
          <w:rFonts w:ascii="宋体" w:hAnsi="宋体"/>
          <w:b/>
          <w:bCs/>
          <w:sz w:val="21"/>
          <w:szCs w:val="21"/>
        </w:rPr>
        <w:t>6</w:t>
      </w:r>
      <w:r>
        <w:rPr>
          <w:rFonts w:hint="eastAsia" w:ascii="宋体" w:hAnsi="宋体"/>
          <w:b/>
          <w:bCs/>
          <w:sz w:val="21"/>
          <w:szCs w:val="21"/>
        </w:rPr>
        <w:t>年6月12日--2026年6月23日</w:t>
      </w:r>
      <w:r>
        <w:rPr>
          <w:rFonts w:hint="eastAsia" w:ascii="宋体" w:hAnsi="宋体"/>
          <w:sz w:val="21"/>
          <w:szCs w:val="21"/>
        </w:rPr>
        <w:t>，上午9时00分—12时00分，下午14时00分—17时30分（节假日除外）；</w:t>
      </w:r>
    </w:p>
    <w:p w14:paraId="432E3BE2">
      <w:pPr>
        <w:spacing w:line="360" w:lineRule="auto"/>
        <w:ind w:firstLine="420" w:firstLineChars="200"/>
        <w:rPr>
          <w:rFonts w:hint="eastAsia" w:ascii="宋体" w:hAnsi="宋体"/>
          <w:b/>
          <w:bCs/>
          <w:sz w:val="21"/>
          <w:szCs w:val="21"/>
        </w:rPr>
      </w:pPr>
      <w:r>
        <w:rPr>
          <w:rFonts w:hint="eastAsia" w:ascii="宋体" w:hAnsi="宋体"/>
          <w:sz w:val="21"/>
          <w:szCs w:val="21"/>
        </w:rPr>
        <w:t>3.3、报名方式：请投标单位在报名时间内，委托授权代表</w:t>
      </w:r>
      <w:r>
        <w:rPr>
          <w:rFonts w:hint="eastAsia" w:ascii="宋体" w:hAnsi="宋体"/>
          <w:b/>
          <w:bCs/>
          <w:sz w:val="21"/>
          <w:szCs w:val="21"/>
        </w:rPr>
        <w:t>用个人微信扫描二维码提交以上报名资料，并同步发送邮箱：</w:t>
      </w:r>
      <w:r>
        <w:rPr>
          <w:rFonts w:ascii="宋体" w:hAnsi="宋体"/>
          <w:b/>
          <w:bCs/>
          <w:sz w:val="21"/>
          <w:szCs w:val="21"/>
        </w:rPr>
        <w:t>qinweiqi@synear.com</w:t>
      </w:r>
      <w:r>
        <w:rPr>
          <w:rFonts w:hint="eastAsia" w:ascii="宋体" w:hAnsi="宋体"/>
          <w:b/>
          <w:bCs/>
          <w:sz w:val="21"/>
          <w:szCs w:val="21"/>
        </w:rPr>
        <w:t>一份扫描件；</w:t>
      </w:r>
    </w:p>
    <w:p w14:paraId="5FBC3361">
      <w:pPr>
        <w:spacing w:line="360" w:lineRule="auto"/>
        <w:ind w:firstLine="420" w:firstLineChars="200"/>
        <w:rPr>
          <w:rFonts w:hint="eastAsia" w:ascii="宋体" w:hAnsi="宋体"/>
          <w:sz w:val="21"/>
          <w:szCs w:val="21"/>
        </w:rPr>
      </w:pPr>
      <w:r>
        <w:rPr>
          <w:rFonts w:hint="eastAsia" w:ascii="宋体" w:hAnsi="宋体" w:cs="宋体"/>
          <w:sz w:val="21"/>
          <w:szCs w:val="21"/>
        </w:rPr>
        <w:t>（注：投标单位</w:t>
      </w:r>
      <w:r>
        <w:rPr>
          <w:rFonts w:hint="eastAsia" w:ascii="宋体" w:hAnsi="宋体"/>
          <w:sz w:val="21"/>
          <w:szCs w:val="21"/>
        </w:rPr>
        <w:t>提交信息务必准确，</w:t>
      </w:r>
      <w:r>
        <w:rPr>
          <w:rFonts w:hint="eastAsia" w:ascii="宋体" w:hAnsi="宋体" w:cs="宋体"/>
          <w:sz w:val="21"/>
          <w:szCs w:val="21"/>
        </w:rPr>
        <w:t>报名资料通过审核后，我司以邮箱形式发送招标文件等资料；报名资料审核未通过的单位不能参与本次投标；）</w:t>
      </w:r>
    </w:p>
    <w:p w14:paraId="520BE7C1">
      <w:pPr>
        <w:jc w:val="center"/>
        <w:rPr>
          <w:rFonts w:hint="eastAsia" w:eastAsia="宋体"/>
          <w:lang w:eastAsia="zh-CN"/>
        </w:rPr>
      </w:pPr>
      <w:bookmarkStart w:id="15" w:name="_GoBack"/>
      <w:r>
        <w:rPr>
          <w:rFonts w:hint="eastAsia" w:eastAsia="宋体"/>
          <w:lang w:eastAsia="zh-CN"/>
        </w:rPr>
        <w:drawing>
          <wp:inline distT="0" distB="0" distL="114300" distR="114300">
            <wp:extent cx="1158875" cy="1118235"/>
            <wp:effectExtent l="0" t="0" r="3175" b="5715"/>
            <wp:docPr id="2" name="图片 2" descr="9b9b0210-f631-4167-9d74-42dbeffec4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b9b0210-f631-4167-9d74-42dbeffec4c5"/>
                    <pic:cNvPicPr>
                      <a:picLocks noChangeAspect="1"/>
                    </pic:cNvPicPr>
                  </pic:nvPicPr>
                  <pic:blipFill>
                    <a:blip r:embed="rId10"/>
                    <a:stretch>
                      <a:fillRect/>
                    </a:stretch>
                  </pic:blipFill>
                  <pic:spPr>
                    <a:xfrm>
                      <a:off x="0" y="0"/>
                      <a:ext cx="1158875" cy="1118235"/>
                    </a:xfrm>
                    <a:prstGeom prst="rect">
                      <a:avLst/>
                    </a:prstGeom>
                  </pic:spPr>
                </pic:pic>
              </a:graphicData>
            </a:graphic>
          </wp:inline>
        </w:drawing>
      </w:r>
      <w:bookmarkEnd w:id="15"/>
    </w:p>
    <w:p w14:paraId="2DC6B6F3">
      <w:pPr>
        <w:jc w:val="center"/>
      </w:pPr>
    </w:p>
    <w:p w14:paraId="3B6547F8">
      <w:pPr>
        <w:spacing w:line="360" w:lineRule="auto"/>
        <w:ind w:firstLine="462" w:firstLineChars="200"/>
        <w:jc w:val="both"/>
        <w:rPr>
          <w:rFonts w:hint="eastAsia" w:ascii="宋体" w:hAnsi="宋体"/>
          <w:b/>
          <w:spacing w:val="10"/>
          <w:kern w:val="24"/>
          <w:sz w:val="21"/>
          <w:szCs w:val="21"/>
        </w:rPr>
      </w:pPr>
      <w:r>
        <w:rPr>
          <w:rFonts w:hint="eastAsia" w:ascii="宋体" w:hAnsi="宋体"/>
          <w:b/>
          <w:spacing w:val="10"/>
          <w:kern w:val="24"/>
          <w:sz w:val="21"/>
          <w:szCs w:val="21"/>
        </w:rPr>
        <w:t>四、投标保证金：</w:t>
      </w:r>
    </w:p>
    <w:p w14:paraId="3786B7B5">
      <w:pPr>
        <w:spacing w:line="360" w:lineRule="auto"/>
        <w:ind w:firstLine="460" w:firstLineChars="200"/>
        <w:jc w:val="both"/>
        <w:rPr>
          <w:rFonts w:hint="eastAsia" w:ascii="宋体" w:hAnsi="宋体"/>
          <w:spacing w:val="10"/>
          <w:kern w:val="24"/>
          <w:sz w:val="21"/>
          <w:szCs w:val="21"/>
        </w:rPr>
      </w:pPr>
      <w:r>
        <w:rPr>
          <w:rFonts w:hint="eastAsia" w:ascii="宋体" w:hAnsi="宋体"/>
          <w:bCs/>
          <w:spacing w:val="10"/>
          <w:kern w:val="24"/>
          <w:sz w:val="21"/>
          <w:szCs w:val="21"/>
        </w:rPr>
        <w:t>1、</w:t>
      </w:r>
      <w:r>
        <w:rPr>
          <w:rFonts w:hint="eastAsia" w:ascii="宋体" w:hAnsi="宋体"/>
          <w:spacing w:val="10"/>
          <w:kern w:val="24"/>
          <w:sz w:val="21"/>
          <w:szCs w:val="21"/>
        </w:rPr>
        <w:t>开标前,各投标单位需缴纳投标保证金人民币</w:t>
      </w:r>
      <w:r>
        <w:rPr>
          <w:rFonts w:hint="eastAsia" w:ascii="宋体" w:hAnsi="宋体"/>
          <w:b/>
          <w:bCs/>
          <w:spacing w:val="10"/>
          <w:kern w:val="24"/>
          <w:sz w:val="21"/>
          <w:szCs w:val="21"/>
          <w:u w:val="single"/>
        </w:rPr>
        <w:t>10000</w:t>
      </w:r>
      <w:r>
        <w:rPr>
          <w:rFonts w:hint="eastAsia" w:ascii="宋体" w:hAnsi="宋体"/>
          <w:b/>
          <w:spacing w:val="10"/>
          <w:kern w:val="24"/>
          <w:sz w:val="21"/>
          <w:szCs w:val="21"/>
        </w:rPr>
        <w:t>元</w:t>
      </w:r>
      <w:r>
        <w:rPr>
          <w:rFonts w:hint="eastAsia" w:ascii="宋体" w:hAnsi="宋体"/>
          <w:b/>
          <w:bCs/>
          <w:spacing w:val="10"/>
          <w:kern w:val="24"/>
          <w:sz w:val="21"/>
          <w:szCs w:val="21"/>
        </w:rPr>
        <w:t>（</w:t>
      </w:r>
      <w:r>
        <w:rPr>
          <w:rFonts w:hint="eastAsia" w:ascii="宋体" w:hAnsi="宋体"/>
          <w:b/>
          <w:bCs/>
          <w:spacing w:val="10"/>
          <w:kern w:val="24"/>
          <w:sz w:val="21"/>
          <w:szCs w:val="21"/>
          <w:u w:val="single"/>
        </w:rPr>
        <w:t>大写：伍仟元整</w:t>
      </w:r>
      <w:r>
        <w:rPr>
          <w:rFonts w:hint="eastAsia" w:ascii="宋体" w:hAnsi="宋体"/>
          <w:b/>
          <w:bCs/>
          <w:spacing w:val="10"/>
          <w:kern w:val="24"/>
          <w:sz w:val="21"/>
          <w:szCs w:val="21"/>
        </w:rPr>
        <w:t>）</w:t>
      </w:r>
      <w:r>
        <w:rPr>
          <w:rFonts w:hint="eastAsia" w:ascii="宋体" w:hAnsi="宋体"/>
          <w:spacing w:val="10"/>
          <w:kern w:val="24"/>
          <w:sz w:val="21"/>
          <w:szCs w:val="21"/>
        </w:rPr>
        <w:t>。</w:t>
      </w:r>
    </w:p>
    <w:p w14:paraId="46426096">
      <w:pPr>
        <w:spacing w:line="360" w:lineRule="auto"/>
        <w:ind w:firstLine="460" w:firstLineChars="200"/>
        <w:jc w:val="both"/>
        <w:rPr>
          <w:rFonts w:hint="eastAsia" w:ascii="宋体" w:hAnsi="宋体"/>
          <w:spacing w:val="10"/>
          <w:kern w:val="24"/>
          <w:sz w:val="21"/>
          <w:szCs w:val="21"/>
        </w:rPr>
      </w:pPr>
      <w:r>
        <w:rPr>
          <w:rFonts w:hint="eastAsia" w:ascii="宋体" w:hAnsi="宋体"/>
          <w:spacing w:val="10"/>
          <w:kern w:val="24"/>
          <w:sz w:val="21"/>
          <w:szCs w:val="21"/>
        </w:rPr>
        <w:t>2、投标保证金缴纳方式：详见招标文件；</w:t>
      </w:r>
    </w:p>
    <w:p w14:paraId="7B803F6B">
      <w:pPr>
        <w:spacing w:line="360" w:lineRule="auto"/>
        <w:ind w:firstLine="422" w:firstLineChars="200"/>
        <w:jc w:val="both"/>
        <w:rPr>
          <w:rFonts w:hint="eastAsia" w:ascii="宋体" w:hAnsi="宋体"/>
          <w:b/>
          <w:color w:val="000000"/>
          <w:sz w:val="21"/>
          <w:szCs w:val="21"/>
        </w:rPr>
      </w:pPr>
      <w:r>
        <w:rPr>
          <w:rFonts w:hint="eastAsia" w:ascii="宋体" w:hAnsi="宋体"/>
          <w:b/>
          <w:color w:val="000000"/>
          <w:sz w:val="21"/>
          <w:szCs w:val="21"/>
        </w:rPr>
        <w:t>五、投标截止时间及地点：</w:t>
      </w:r>
    </w:p>
    <w:p w14:paraId="020DDF6A">
      <w:pPr>
        <w:spacing w:line="360" w:lineRule="auto"/>
        <w:ind w:firstLine="422" w:firstLineChars="200"/>
        <w:jc w:val="both"/>
        <w:rPr>
          <w:rFonts w:hint="eastAsia" w:ascii="宋体" w:hAnsi="宋体"/>
          <w:b/>
          <w:color w:val="000000"/>
          <w:sz w:val="21"/>
          <w:szCs w:val="21"/>
        </w:rPr>
      </w:pPr>
      <w:r>
        <w:rPr>
          <w:rFonts w:hint="eastAsia" w:ascii="宋体" w:hAnsi="宋体"/>
          <w:b/>
          <w:color w:val="000000"/>
          <w:sz w:val="21"/>
          <w:szCs w:val="21"/>
        </w:rPr>
        <w:t>1.时间（同开标时间）：2026年6月24日上午9:00；</w:t>
      </w:r>
    </w:p>
    <w:p w14:paraId="69409C94">
      <w:pPr>
        <w:spacing w:line="360" w:lineRule="auto"/>
        <w:ind w:firstLine="422" w:firstLineChars="200"/>
        <w:jc w:val="both"/>
        <w:rPr>
          <w:rFonts w:hint="eastAsia" w:ascii="宋体" w:hAnsi="宋体"/>
          <w:color w:val="000000"/>
          <w:sz w:val="21"/>
          <w:szCs w:val="21"/>
        </w:rPr>
      </w:pPr>
      <w:r>
        <w:rPr>
          <w:rFonts w:hint="eastAsia" w:ascii="宋体" w:hAnsi="宋体"/>
          <w:b/>
          <w:color w:val="000000"/>
          <w:sz w:val="21"/>
          <w:szCs w:val="21"/>
        </w:rPr>
        <w:t>2.地点（同开标地点）：郑州市惠济区英才街13号</w:t>
      </w:r>
      <w:r>
        <w:rPr>
          <w:rFonts w:hint="eastAsia" w:ascii="宋体" w:hAnsi="宋体"/>
          <w:color w:val="000000"/>
          <w:sz w:val="21"/>
          <w:szCs w:val="21"/>
        </w:rPr>
        <w:t>（具体以开标前电话及邮件通知为准）。</w:t>
      </w:r>
    </w:p>
    <w:p w14:paraId="6EC3C703">
      <w:pPr>
        <w:spacing w:line="360" w:lineRule="auto"/>
        <w:ind w:firstLine="420" w:firstLineChars="200"/>
        <w:jc w:val="both"/>
      </w:pPr>
      <w:r>
        <w:rPr>
          <w:rFonts w:hint="eastAsia" w:ascii="宋体" w:hAnsi="宋体"/>
          <w:color w:val="000000"/>
          <w:sz w:val="21"/>
          <w:szCs w:val="21"/>
        </w:rPr>
        <w:t>注：所有投标人的法定代表人或法定代表人委托代理人必须准时参加，否则所递交的投标文件将被视为无效投标文件予以退回。</w:t>
      </w:r>
    </w:p>
    <w:p w14:paraId="67B6A87C">
      <w:pPr>
        <w:spacing w:line="360" w:lineRule="auto"/>
        <w:ind w:firstLine="422" w:firstLineChars="200"/>
        <w:jc w:val="both"/>
        <w:rPr>
          <w:rFonts w:hint="eastAsia" w:ascii="宋体" w:hAnsi="宋体"/>
          <w:b/>
          <w:sz w:val="21"/>
          <w:szCs w:val="21"/>
        </w:rPr>
      </w:pPr>
      <w:r>
        <w:rPr>
          <w:rFonts w:hint="eastAsia" w:ascii="宋体" w:hAnsi="宋体"/>
          <w:b/>
          <w:sz w:val="21"/>
          <w:szCs w:val="21"/>
        </w:rPr>
        <w:t>六、凡对本次招标提出询问，请按照以下方式联系：</w:t>
      </w:r>
    </w:p>
    <w:p w14:paraId="656A9A8D">
      <w:pPr>
        <w:spacing w:line="360" w:lineRule="auto"/>
        <w:ind w:firstLine="422" w:firstLineChars="200"/>
        <w:jc w:val="both"/>
        <w:rPr>
          <w:rFonts w:hint="eastAsia" w:ascii="宋体" w:hAnsi="宋体"/>
          <w:b/>
          <w:sz w:val="21"/>
          <w:szCs w:val="21"/>
        </w:rPr>
      </w:pPr>
      <w:r>
        <w:rPr>
          <w:rFonts w:hint="eastAsia" w:ascii="宋体" w:hAnsi="宋体"/>
          <w:b/>
          <w:sz w:val="21"/>
          <w:szCs w:val="21"/>
        </w:rPr>
        <w:t>1.思念食品招标部</w:t>
      </w:r>
    </w:p>
    <w:p w14:paraId="45B7F694">
      <w:pPr>
        <w:spacing w:line="360" w:lineRule="auto"/>
        <w:ind w:firstLine="422" w:firstLineChars="200"/>
        <w:jc w:val="both"/>
        <w:rPr>
          <w:rFonts w:hint="eastAsia" w:ascii="宋体" w:hAnsi="宋体"/>
          <w:b/>
          <w:sz w:val="21"/>
          <w:szCs w:val="21"/>
        </w:rPr>
      </w:pPr>
      <w:r>
        <w:rPr>
          <w:rFonts w:hint="eastAsia" w:ascii="宋体" w:hAnsi="宋体"/>
          <w:b/>
          <w:sz w:val="21"/>
          <w:szCs w:val="21"/>
        </w:rPr>
        <w:t>联系人：秦为齐</w:t>
      </w:r>
    </w:p>
    <w:p w14:paraId="3D7B600F">
      <w:pPr>
        <w:spacing w:line="360" w:lineRule="auto"/>
        <w:ind w:firstLine="422" w:firstLineChars="200"/>
        <w:jc w:val="both"/>
        <w:rPr>
          <w:rFonts w:hint="eastAsia" w:ascii="宋体" w:hAnsi="宋体"/>
          <w:b/>
          <w:sz w:val="21"/>
          <w:szCs w:val="21"/>
        </w:rPr>
      </w:pPr>
      <w:r>
        <w:rPr>
          <w:rFonts w:hint="eastAsia" w:ascii="宋体" w:hAnsi="宋体"/>
          <w:b/>
          <w:sz w:val="21"/>
          <w:szCs w:val="21"/>
        </w:rPr>
        <w:t>联系方式：18239979660</w:t>
      </w:r>
    </w:p>
    <w:p w14:paraId="4121068D">
      <w:pPr>
        <w:spacing w:line="360" w:lineRule="auto"/>
        <w:ind w:firstLine="422" w:firstLineChars="200"/>
        <w:jc w:val="both"/>
        <w:rPr>
          <w:rFonts w:hint="eastAsia" w:ascii="宋体" w:hAnsi="宋体"/>
          <w:b/>
          <w:sz w:val="21"/>
          <w:szCs w:val="21"/>
        </w:rPr>
      </w:pPr>
      <w:r>
        <w:rPr>
          <w:rFonts w:hint="eastAsia" w:ascii="宋体" w:hAnsi="宋体"/>
          <w:b/>
          <w:sz w:val="21"/>
          <w:szCs w:val="21"/>
        </w:rPr>
        <w:t>邮箱：</w:t>
      </w:r>
      <w:r>
        <w:rPr>
          <w:rFonts w:ascii="宋体" w:hAnsi="宋体"/>
          <w:b/>
          <w:sz w:val="21"/>
          <w:szCs w:val="21"/>
        </w:rPr>
        <w:t>qinweiqi@synear.com</w:t>
      </w:r>
    </w:p>
    <w:p w14:paraId="2B0526AA">
      <w:pPr>
        <w:numPr>
          <w:ilvl w:val="0"/>
          <w:numId w:val="4"/>
        </w:numPr>
        <w:spacing w:line="360" w:lineRule="auto"/>
        <w:ind w:firstLine="422" w:firstLineChars="200"/>
        <w:jc w:val="both"/>
        <w:rPr>
          <w:rFonts w:hint="eastAsia" w:ascii="宋体" w:hAnsi="宋体" w:cs="宋体"/>
          <w:b/>
          <w:sz w:val="21"/>
          <w:szCs w:val="21"/>
        </w:rPr>
      </w:pPr>
      <w:r>
        <w:rPr>
          <w:rFonts w:hint="eastAsia" w:ascii="宋体" w:hAnsi="宋体"/>
          <w:b/>
          <w:sz w:val="21"/>
          <w:szCs w:val="21"/>
        </w:rPr>
        <w:t>项目现场勘察或答疑联系人：</w:t>
      </w:r>
    </w:p>
    <w:p w14:paraId="7FA9209F">
      <w:pPr>
        <w:spacing w:line="360" w:lineRule="auto"/>
        <w:jc w:val="both"/>
        <w:rPr>
          <w:rFonts w:hint="eastAsia" w:ascii="宋体" w:hAnsi="宋体" w:cs="宋体"/>
          <w:b/>
          <w:sz w:val="21"/>
          <w:szCs w:val="21"/>
        </w:rPr>
      </w:pPr>
      <w:r>
        <w:rPr>
          <w:rFonts w:hint="eastAsia" w:ascii="宋体" w:hAnsi="宋体"/>
          <w:b/>
          <w:sz w:val="21"/>
          <w:szCs w:val="21"/>
        </w:rPr>
        <w:t xml:space="preserve">    联系人：樊林</w:t>
      </w:r>
    </w:p>
    <w:p w14:paraId="16555DF0">
      <w:pPr>
        <w:spacing w:line="360" w:lineRule="auto"/>
        <w:ind w:firstLine="422" w:firstLineChars="200"/>
        <w:jc w:val="both"/>
        <w:textAlignment w:val="bottom"/>
        <w:rPr>
          <w:rFonts w:hint="eastAsia" w:ascii="宋体" w:hAnsi="宋体"/>
          <w:b/>
          <w:sz w:val="21"/>
          <w:szCs w:val="21"/>
        </w:rPr>
      </w:pPr>
      <w:r>
        <w:rPr>
          <w:rFonts w:hint="eastAsia" w:ascii="宋体" w:hAnsi="宋体"/>
          <w:b/>
          <w:sz w:val="21"/>
          <w:szCs w:val="21"/>
        </w:rPr>
        <w:t>联系方式：</w:t>
      </w:r>
      <w:r>
        <w:rPr>
          <w:rFonts w:ascii="宋体" w:hAnsi="宋体"/>
          <w:b/>
          <w:sz w:val="21"/>
          <w:szCs w:val="21"/>
        </w:rPr>
        <w:t>15938081256</w:t>
      </w:r>
    </w:p>
    <w:p w14:paraId="6401827F">
      <w:pPr>
        <w:spacing w:line="360" w:lineRule="auto"/>
        <w:ind w:firstLine="422" w:firstLineChars="200"/>
        <w:jc w:val="both"/>
        <w:textAlignment w:val="bottom"/>
        <w:rPr>
          <w:rFonts w:hint="eastAsia" w:ascii="宋体" w:hAnsi="宋体"/>
          <w:b/>
          <w:sz w:val="21"/>
          <w:szCs w:val="21"/>
        </w:rPr>
      </w:pPr>
      <w:r>
        <w:rPr>
          <w:rFonts w:hint="eastAsia" w:ascii="宋体" w:hAnsi="宋体"/>
          <w:b/>
          <w:sz w:val="21"/>
          <w:szCs w:val="21"/>
        </w:rPr>
        <w:t>七、评标办法：</w:t>
      </w:r>
    </w:p>
    <w:p w14:paraId="28F838D3">
      <w:pPr>
        <w:spacing w:line="360" w:lineRule="auto"/>
        <w:ind w:firstLine="422" w:firstLineChars="200"/>
        <w:jc w:val="both"/>
        <w:textAlignment w:val="bottom"/>
        <w:rPr>
          <w:rFonts w:hint="eastAsia" w:ascii="宋体" w:hAnsi="宋体"/>
          <w:b/>
          <w:sz w:val="21"/>
          <w:szCs w:val="21"/>
        </w:rPr>
      </w:pPr>
      <w:r>
        <w:rPr>
          <w:rFonts w:hint="eastAsia" w:ascii="宋体" w:hAnsi="宋体"/>
          <w:b/>
          <w:sz w:val="21"/>
          <w:szCs w:val="21"/>
        </w:rPr>
        <w:t>针对本项目具体情况，采用综合中标原则进行定标，即满足我司招标技术要求的前提下，综合排名第一中标。</w:t>
      </w:r>
    </w:p>
    <w:p w14:paraId="55A8C5B3">
      <w:pPr>
        <w:spacing w:line="360" w:lineRule="auto"/>
        <w:ind w:firstLine="422" w:firstLineChars="200"/>
        <w:jc w:val="both"/>
        <w:textAlignment w:val="bottom"/>
        <w:rPr>
          <w:rFonts w:hint="eastAsia" w:ascii="宋体" w:hAnsi="宋体"/>
          <w:b/>
          <w:sz w:val="21"/>
          <w:szCs w:val="21"/>
        </w:rPr>
      </w:pPr>
    </w:p>
    <w:p w14:paraId="46B55611">
      <w:pPr>
        <w:pStyle w:val="2"/>
        <w:numPr>
          <w:ilvl w:val="0"/>
          <w:numId w:val="0"/>
        </w:numPr>
        <w:spacing w:before="120" w:beforeLines="50" w:line="360" w:lineRule="auto"/>
        <w:rPr>
          <w:rFonts w:ascii="宋体" w:eastAsia="宋体"/>
          <w:b/>
          <w:bCs/>
          <w:sz w:val="24"/>
          <w:szCs w:val="24"/>
        </w:rPr>
      </w:pPr>
      <w:bookmarkStart w:id="13" w:name="_Toc25446"/>
      <w:r>
        <w:rPr>
          <w:rFonts w:hint="eastAsia" w:ascii="宋体" w:eastAsia="宋体"/>
          <w:b/>
          <w:bCs/>
          <w:sz w:val="24"/>
          <w:szCs w:val="24"/>
        </w:rPr>
        <w:t>第二章  投标单位须知</w:t>
      </w:r>
      <w:bookmarkEnd w:id="13"/>
    </w:p>
    <w:p w14:paraId="35B3B58D">
      <w:pPr>
        <w:spacing w:line="360" w:lineRule="auto"/>
        <w:ind w:firstLine="420" w:firstLineChars="200"/>
        <w:jc w:val="both"/>
        <w:rPr>
          <w:rFonts w:hint="eastAsia" w:ascii="宋体" w:hAnsi="宋体"/>
          <w:sz w:val="21"/>
          <w:szCs w:val="21"/>
        </w:rPr>
      </w:pPr>
      <w:r>
        <w:rPr>
          <w:rFonts w:hint="eastAsia" w:ascii="宋体" w:hAnsi="宋体"/>
          <w:sz w:val="21"/>
          <w:szCs w:val="21"/>
        </w:rPr>
        <w:t>1、投标文件编制及装订要求：</w:t>
      </w:r>
    </w:p>
    <w:p w14:paraId="4A48A0DD">
      <w:pPr>
        <w:spacing w:line="360" w:lineRule="auto"/>
        <w:ind w:firstLine="422" w:firstLineChars="200"/>
        <w:jc w:val="both"/>
        <w:rPr>
          <w:rFonts w:hint="eastAsia" w:ascii="宋体" w:hAnsi="宋体"/>
          <w:b/>
          <w:bCs/>
          <w:sz w:val="21"/>
          <w:szCs w:val="21"/>
        </w:rPr>
      </w:pPr>
      <w:r>
        <w:rPr>
          <w:rFonts w:hint="eastAsia" w:ascii="宋体" w:hAnsi="宋体"/>
          <w:b/>
          <w:bCs/>
          <w:sz w:val="21"/>
          <w:szCs w:val="21"/>
        </w:rPr>
        <w:t>1.1投标文件要求一正两副，正本和副本的封面上应清楚地标记“正本”或“副本”的字样。当副本和正本不一致时，以正本为准。投标人应将所有投标的正本和所有副本分别密封。(报价单与技术标分开装订)</w:t>
      </w:r>
    </w:p>
    <w:p w14:paraId="5F50126E">
      <w:pPr>
        <w:spacing w:line="360" w:lineRule="auto"/>
        <w:ind w:firstLine="420" w:firstLineChars="200"/>
        <w:jc w:val="both"/>
        <w:rPr>
          <w:rFonts w:hint="eastAsia" w:ascii="宋体" w:hAnsi="宋体"/>
          <w:sz w:val="21"/>
          <w:szCs w:val="21"/>
        </w:rPr>
      </w:pPr>
      <w:r>
        <w:rPr>
          <w:rFonts w:hint="eastAsia" w:ascii="宋体" w:hAnsi="宋体"/>
          <w:sz w:val="21"/>
          <w:szCs w:val="21"/>
        </w:rPr>
        <w:t>1.2投标文件不要求逐页小签，按招标文件要求签字或盖章。投标文件应用不褪色的材料书写或打印，并由投标人的法定代表人或其委托代理人签字或盖单位章，投标文件封面、投标函均应加盖投标人印章并经法定代表人或其委托代理人签字或盖章。由委托代理人签字或盖章的在投标文件中须同时提交投标文件签署授权委托书。委托代理人签字的，投标文 件应附法定代表人签署的授权委托书，投标文件签署授权委托书格式、签字、盖章及内容均应符合要求，否则投标文件签署授权委托书无效。投标文件应尽量避免涂改、行间插字或删除。如果出现上述情况，改动之处应加盖单位章或由投标人的法定代表人或其授权的代理人签字确认。</w:t>
      </w:r>
    </w:p>
    <w:p w14:paraId="1DDFDF21">
      <w:pPr>
        <w:spacing w:line="360" w:lineRule="auto"/>
        <w:ind w:firstLine="420" w:firstLineChars="200"/>
        <w:jc w:val="both"/>
        <w:rPr>
          <w:rFonts w:hint="eastAsia" w:ascii="宋体" w:hAnsi="宋体"/>
          <w:sz w:val="21"/>
          <w:szCs w:val="21"/>
        </w:rPr>
      </w:pPr>
      <w:r>
        <w:rPr>
          <w:rFonts w:hint="eastAsia" w:ascii="宋体" w:hAnsi="宋体"/>
          <w:sz w:val="21"/>
          <w:szCs w:val="21"/>
        </w:rPr>
        <w:t>2、投标文件中提供企业简介或企业基本情况一览表。</w:t>
      </w:r>
    </w:p>
    <w:p w14:paraId="307FAE4F">
      <w:pPr>
        <w:spacing w:line="360" w:lineRule="auto"/>
        <w:ind w:firstLine="420" w:firstLineChars="200"/>
        <w:jc w:val="both"/>
        <w:rPr>
          <w:rFonts w:hint="eastAsia" w:ascii="宋体" w:hAnsi="宋体"/>
          <w:b/>
          <w:bCs/>
          <w:color w:val="000000"/>
          <w:sz w:val="21"/>
          <w:szCs w:val="21"/>
        </w:rPr>
      </w:pPr>
      <w:r>
        <w:rPr>
          <w:rFonts w:hint="eastAsia" w:ascii="宋体" w:hAnsi="宋体"/>
          <w:sz w:val="21"/>
          <w:szCs w:val="21"/>
        </w:rPr>
        <w:t>3、资质文件：投标文件中必须包括企业营业执照、税务登记证、组织机构代码证（或三证合一）</w:t>
      </w:r>
      <w:r>
        <w:rPr>
          <w:rFonts w:hint="eastAsia" w:ascii="宋体" w:hAnsi="宋体"/>
          <w:color w:val="000000"/>
          <w:sz w:val="21"/>
          <w:szCs w:val="21"/>
        </w:rPr>
        <w:t>，资质证书等资料，投标现场提供原件备查。</w:t>
      </w:r>
      <w:r>
        <w:rPr>
          <w:rFonts w:hint="eastAsia" w:ascii="宋体" w:hAnsi="宋体"/>
          <w:b/>
          <w:bCs/>
          <w:color w:val="000000"/>
          <w:sz w:val="21"/>
          <w:szCs w:val="21"/>
        </w:rPr>
        <w:t>（对应招标公告中资质要求）</w:t>
      </w:r>
    </w:p>
    <w:p w14:paraId="2D4EE4D1">
      <w:pPr>
        <w:spacing w:line="360" w:lineRule="auto"/>
        <w:ind w:firstLine="420" w:firstLineChars="200"/>
        <w:jc w:val="both"/>
        <w:rPr>
          <w:rFonts w:hint="eastAsia" w:ascii="宋体" w:hAnsi="宋体"/>
          <w:color w:val="000000"/>
          <w:sz w:val="21"/>
          <w:szCs w:val="21"/>
        </w:rPr>
      </w:pPr>
      <w:r>
        <w:rPr>
          <w:rFonts w:hint="eastAsia" w:ascii="宋体" w:hAnsi="宋体"/>
          <w:color w:val="000000"/>
          <w:sz w:val="21"/>
          <w:szCs w:val="21"/>
        </w:rPr>
        <w:t>4、业绩一览表：</w:t>
      </w:r>
    </w:p>
    <w:p w14:paraId="46ACF0C7">
      <w:pPr>
        <w:spacing w:line="360" w:lineRule="auto"/>
        <w:ind w:firstLine="420" w:firstLineChars="200"/>
        <w:jc w:val="both"/>
        <w:rPr>
          <w:rFonts w:hint="eastAsia" w:ascii="宋体" w:hAnsi="宋体"/>
          <w:color w:val="000000"/>
          <w:sz w:val="21"/>
          <w:szCs w:val="21"/>
        </w:rPr>
      </w:pPr>
      <w:r>
        <w:rPr>
          <w:rFonts w:hint="eastAsia" w:ascii="宋体" w:hAnsi="宋体"/>
          <w:color w:val="000000"/>
          <w:sz w:val="21"/>
          <w:szCs w:val="21"/>
        </w:rPr>
        <w:t>投标文件中必须包括业绩一览表及类似项目合同复印件。投标文件中需列出近三年以来类似项目情况介绍。</w:t>
      </w:r>
    </w:p>
    <w:p w14:paraId="739DEDBD">
      <w:pPr>
        <w:spacing w:line="360" w:lineRule="auto"/>
        <w:ind w:firstLine="420" w:firstLineChars="200"/>
        <w:jc w:val="both"/>
        <w:rPr>
          <w:rFonts w:hint="eastAsia" w:ascii="宋体" w:hAnsi="宋体"/>
          <w:sz w:val="21"/>
          <w:szCs w:val="21"/>
        </w:rPr>
      </w:pPr>
      <w:r>
        <w:rPr>
          <w:rFonts w:hint="eastAsia" w:ascii="宋体" w:hAnsi="宋体"/>
          <w:bCs/>
          <w:color w:val="000000"/>
          <w:sz w:val="21"/>
          <w:szCs w:val="21"/>
        </w:rPr>
        <w:t>5</w:t>
      </w:r>
      <w:r>
        <w:rPr>
          <w:rFonts w:hint="eastAsia" w:ascii="宋体" w:hAnsi="宋体"/>
          <w:bCs/>
          <w:sz w:val="21"/>
          <w:szCs w:val="21"/>
        </w:rPr>
        <w:t>、</w:t>
      </w:r>
      <w:r>
        <w:rPr>
          <w:rFonts w:hint="eastAsia" w:ascii="宋体" w:hAnsi="宋体"/>
          <w:sz w:val="21"/>
          <w:szCs w:val="21"/>
        </w:rPr>
        <w:t>投标方同意在从开标之日起90天的投标有效期内严格遵守本投标书的各项承诺。期限届满之前，投标文件始终对投标方具有约束力。</w:t>
      </w:r>
    </w:p>
    <w:p w14:paraId="0CB657A3">
      <w:pPr>
        <w:spacing w:line="360" w:lineRule="auto"/>
        <w:ind w:firstLine="420" w:firstLineChars="200"/>
        <w:jc w:val="both"/>
        <w:rPr>
          <w:rFonts w:hint="eastAsia" w:ascii="宋体" w:hAnsi="宋体"/>
          <w:sz w:val="21"/>
          <w:szCs w:val="21"/>
        </w:rPr>
      </w:pPr>
      <w:r>
        <w:rPr>
          <w:rFonts w:hint="eastAsia" w:ascii="宋体" w:hAnsi="宋体"/>
          <w:sz w:val="21"/>
          <w:szCs w:val="21"/>
        </w:rPr>
        <w:t>6、投标方如中标，投标公司及任何关联公司在合同履约过程中不得直接或间接给予招标人（含其任何高级职员、董事、股东、代表或代理人等）任何佣金、款项、货款、贵重礼品、回扣、奢华的娱乐或其他有价值的物品。否则，投标方即构成严重违约。</w:t>
      </w:r>
    </w:p>
    <w:p w14:paraId="4A4CB1F3">
      <w:pPr>
        <w:spacing w:line="360" w:lineRule="auto"/>
        <w:ind w:firstLine="420" w:firstLineChars="200"/>
        <w:jc w:val="both"/>
        <w:rPr>
          <w:rFonts w:hint="eastAsia" w:ascii="宋体" w:hAnsi="宋体"/>
          <w:sz w:val="21"/>
          <w:szCs w:val="21"/>
        </w:rPr>
      </w:pPr>
      <w:r>
        <w:rPr>
          <w:rFonts w:hint="eastAsia" w:ascii="宋体" w:hAnsi="宋体"/>
          <w:sz w:val="21"/>
          <w:szCs w:val="21"/>
        </w:rPr>
        <w:t>7、投标人出现以下情况，招标人有权扣除投标人投标保证金：</w:t>
      </w:r>
    </w:p>
    <w:p w14:paraId="7B5397C8">
      <w:pPr>
        <w:numPr>
          <w:ilvl w:val="0"/>
          <w:numId w:val="5"/>
        </w:numPr>
        <w:spacing w:line="360" w:lineRule="auto"/>
        <w:ind w:left="0" w:firstLine="420" w:firstLineChars="200"/>
        <w:jc w:val="both"/>
        <w:rPr>
          <w:rFonts w:hint="eastAsia" w:ascii="宋体" w:hAnsi="宋体"/>
          <w:sz w:val="21"/>
          <w:szCs w:val="21"/>
        </w:rPr>
      </w:pPr>
      <w:r>
        <w:rPr>
          <w:rFonts w:hint="eastAsia" w:ascii="宋体" w:hAnsi="宋体"/>
          <w:sz w:val="21"/>
          <w:szCs w:val="21"/>
        </w:rPr>
        <w:t>围标、串标。</w:t>
      </w:r>
    </w:p>
    <w:p w14:paraId="50F2D20F">
      <w:pPr>
        <w:numPr>
          <w:ilvl w:val="0"/>
          <w:numId w:val="5"/>
        </w:numPr>
        <w:spacing w:line="360" w:lineRule="auto"/>
        <w:ind w:left="0" w:firstLine="420" w:firstLineChars="200"/>
        <w:jc w:val="both"/>
        <w:rPr>
          <w:rFonts w:hint="eastAsia" w:ascii="宋体" w:hAnsi="宋体"/>
          <w:sz w:val="21"/>
          <w:szCs w:val="21"/>
        </w:rPr>
      </w:pPr>
      <w:r>
        <w:rPr>
          <w:rFonts w:hint="eastAsia" w:ascii="宋体" w:hAnsi="宋体"/>
          <w:sz w:val="21"/>
          <w:szCs w:val="21"/>
        </w:rPr>
        <w:t>不履行投标承诺或者中标不履行。</w:t>
      </w:r>
    </w:p>
    <w:p w14:paraId="0E7173C7">
      <w:pPr>
        <w:numPr>
          <w:ilvl w:val="0"/>
          <w:numId w:val="5"/>
        </w:numPr>
        <w:spacing w:line="360" w:lineRule="auto"/>
        <w:ind w:left="0" w:firstLine="420" w:firstLineChars="200"/>
        <w:jc w:val="both"/>
        <w:rPr>
          <w:rFonts w:hint="eastAsia" w:ascii="宋体" w:hAnsi="宋体"/>
          <w:sz w:val="21"/>
          <w:szCs w:val="21"/>
        </w:rPr>
      </w:pPr>
      <w:r>
        <w:rPr>
          <w:rFonts w:hint="eastAsia" w:ascii="宋体" w:hAnsi="宋体"/>
          <w:sz w:val="21"/>
          <w:szCs w:val="21"/>
        </w:rPr>
        <w:t>伪造证明、证书、合同等相关证件。</w:t>
      </w:r>
    </w:p>
    <w:p w14:paraId="3173431B">
      <w:pPr>
        <w:numPr>
          <w:ilvl w:val="0"/>
          <w:numId w:val="5"/>
        </w:numPr>
        <w:spacing w:line="360" w:lineRule="auto"/>
        <w:ind w:left="0" w:firstLine="422" w:firstLineChars="200"/>
        <w:jc w:val="both"/>
        <w:rPr>
          <w:rFonts w:hint="eastAsia" w:ascii="宋体" w:hAnsi="宋体"/>
          <w:b/>
          <w:bCs/>
          <w:sz w:val="21"/>
          <w:szCs w:val="21"/>
        </w:rPr>
      </w:pPr>
      <w:r>
        <w:rPr>
          <w:rFonts w:hint="eastAsia" w:ascii="宋体" w:hAnsi="宋体"/>
          <w:b/>
          <w:bCs/>
          <w:sz w:val="21"/>
          <w:szCs w:val="21"/>
        </w:rPr>
        <w:t>自通知中标结果之日起7个工作日内，拒不签署相关合同/拒不履行相关中标业务/未经甲方允许私自转包项目/未经甲方允许私自更换甲方确认过的相关项目团队人员等；</w:t>
      </w:r>
    </w:p>
    <w:p w14:paraId="2DE223EC">
      <w:pPr>
        <w:numPr>
          <w:ilvl w:val="0"/>
          <w:numId w:val="5"/>
        </w:numPr>
        <w:spacing w:line="360" w:lineRule="auto"/>
        <w:ind w:left="0" w:firstLine="420" w:firstLineChars="200"/>
        <w:jc w:val="both"/>
        <w:rPr>
          <w:rFonts w:hint="eastAsia" w:ascii="宋体" w:hAnsi="宋体"/>
          <w:sz w:val="21"/>
          <w:szCs w:val="21"/>
        </w:rPr>
      </w:pPr>
      <w:r>
        <w:rPr>
          <w:rFonts w:hint="eastAsia" w:ascii="宋体" w:hAnsi="宋体"/>
          <w:sz w:val="21"/>
          <w:szCs w:val="21"/>
        </w:rPr>
        <w:t>其他违反本次招标书约定要求。</w:t>
      </w:r>
    </w:p>
    <w:p w14:paraId="5788E8A7">
      <w:pPr>
        <w:spacing w:line="360" w:lineRule="auto"/>
        <w:ind w:firstLine="420" w:firstLineChars="200"/>
        <w:jc w:val="both"/>
        <w:rPr>
          <w:rFonts w:hint="eastAsia" w:ascii="宋体" w:hAnsi="宋体"/>
          <w:sz w:val="21"/>
          <w:szCs w:val="21"/>
        </w:rPr>
      </w:pPr>
      <w:r>
        <w:rPr>
          <w:rFonts w:hint="eastAsia" w:ascii="宋体" w:hAnsi="宋体"/>
          <w:sz w:val="21"/>
          <w:szCs w:val="21"/>
        </w:rPr>
        <w:t>8、投标方认可招标方的评标程序及原则。</w:t>
      </w:r>
    </w:p>
    <w:p w14:paraId="3A52394B">
      <w:pPr>
        <w:spacing w:line="360" w:lineRule="auto"/>
        <w:ind w:firstLine="420" w:firstLineChars="200"/>
        <w:jc w:val="both"/>
        <w:rPr>
          <w:rFonts w:hint="eastAsia" w:ascii="宋体" w:hAnsi="宋体"/>
          <w:sz w:val="21"/>
          <w:szCs w:val="21"/>
        </w:rPr>
      </w:pPr>
      <w:r>
        <w:rPr>
          <w:rFonts w:hint="eastAsia" w:ascii="宋体" w:hAnsi="宋体"/>
          <w:sz w:val="21"/>
          <w:szCs w:val="21"/>
        </w:rPr>
        <w:t>9、投标方接受招标方以电话通知中标结果的方式。</w:t>
      </w:r>
    </w:p>
    <w:p w14:paraId="7F6CB7ED">
      <w:pPr>
        <w:spacing w:line="360" w:lineRule="auto"/>
        <w:ind w:firstLine="420" w:firstLineChars="200"/>
        <w:jc w:val="both"/>
        <w:rPr>
          <w:rFonts w:hint="eastAsia" w:ascii="宋体" w:hAnsi="宋体"/>
          <w:sz w:val="21"/>
          <w:szCs w:val="21"/>
        </w:rPr>
      </w:pPr>
      <w:r>
        <w:rPr>
          <w:rFonts w:hint="eastAsia" w:ascii="宋体" w:hAnsi="宋体"/>
          <w:sz w:val="21"/>
          <w:szCs w:val="21"/>
        </w:rPr>
        <w:t>10、招标方不向中标方、落标方解释中标及落标原因，不退还投标文件。</w:t>
      </w:r>
    </w:p>
    <w:p w14:paraId="08D8FC75">
      <w:pPr>
        <w:spacing w:line="360" w:lineRule="auto"/>
        <w:ind w:firstLine="420" w:firstLineChars="200"/>
        <w:jc w:val="both"/>
        <w:rPr>
          <w:rFonts w:hint="eastAsia" w:ascii="宋体" w:hAnsi="宋体"/>
          <w:sz w:val="21"/>
          <w:szCs w:val="21"/>
        </w:rPr>
      </w:pPr>
      <w:r>
        <w:rPr>
          <w:rFonts w:hint="eastAsia" w:ascii="宋体" w:hAnsi="宋体"/>
          <w:sz w:val="21"/>
          <w:szCs w:val="21"/>
        </w:rPr>
        <w:t>11、在开标、评标期间，投标方不得向评委询问评标情况，不得进行旨在影响评标结果的活动。投标单位如果在招标过程中存在违反我公司招标纪律的行为，经审计部核实后，对该投标单位实行永久市场禁入的处罚。</w:t>
      </w:r>
    </w:p>
    <w:p w14:paraId="0759C3A3">
      <w:pPr>
        <w:spacing w:line="360" w:lineRule="auto"/>
        <w:ind w:firstLine="420" w:firstLineChars="200"/>
        <w:jc w:val="both"/>
        <w:rPr>
          <w:rFonts w:hint="eastAsia" w:ascii="宋体" w:hAnsi="宋体"/>
          <w:sz w:val="21"/>
          <w:szCs w:val="21"/>
        </w:rPr>
      </w:pPr>
      <w:r>
        <w:rPr>
          <w:rFonts w:hint="eastAsia" w:ascii="宋体" w:hAnsi="宋体"/>
          <w:sz w:val="21"/>
          <w:szCs w:val="21"/>
        </w:rPr>
        <w:t>12、评标委员会经评审认为所有投标都不符合招标文件要求的，有权否决所有投标，招标方对受影响的投标方不承担任何责任，也无义务向受影响的投标方作出解释。</w:t>
      </w:r>
    </w:p>
    <w:p w14:paraId="19B3015C">
      <w:pPr>
        <w:spacing w:line="360" w:lineRule="auto"/>
        <w:ind w:firstLine="420" w:firstLineChars="200"/>
        <w:jc w:val="both"/>
        <w:rPr>
          <w:rFonts w:hint="eastAsia" w:ascii="宋体" w:hAnsi="宋体"/>
          <w:sz w:val="21"/>
          <w:szCs w:val="21"/>
        </w:rPr>
      </w:pPr>
      <w:r>
        <w:rPr>
          <w:rFonts w:hint="eastAsia" w:ascii="宋体" w:hAnsi="宋体"/>
          <w:sz w:val="21"/>
          <w:szCs w:val="21"/>
        </w:rPr>
        <w:t>13、投标时间截止后不再接收投标，视为投标单位放弃投标资格。</w:t>
      </w:r>
    </w:p>
    <w:p w14:paraId="0347E24B">
      <w:pPr>
        <w:spacing w:line="360" w:lineRule="auto"/>
        <w:ind w:firstLine="420" w:firstLineChars="200"/>
        <w:jc w:val="both"/>
        <w:rPr>
          <w:rFonts w:hint="eastAsia" w:ascii="宋体" w:hAnsi="宋体"/>
          <w:sz w:val="21"/>
          <w:szCs w:val="21"/>
        </w:rPr>
      </w:pPr>
      <w:r>
        <w:rPr>
          <w:rFonts w:hint="eastAsia" w:ascii="宋体" w:hAnsi="宋体"/>
          <w:sz w:val="21"/>
          <w:szCs w:val="21"/>
        </w:rPr>
        <w:t>14、投标人不得相互串通投标或者与招标人串通投标，不得向招标人或者评标委员会成员行贿谋取中标，不得以他人名义投标或者以其他方式弄虚作假骗取中标；投标人不得以任何方式干扰、影响评标工作。</w:t>
      </w:r>
      <w:bookmarkStart w:id="14" w:name="_Toc364407827"/>
    </w:p>
    <w:p w14:paraId="77C10FBD">
      <w:pPr>
        <w:spacing w:line="360" w:lineRule="auto"/>
        <w:ind w:firstLine="420" w:firstLineChars="200"/>
        <w:jc w:val="both"/>
        <w:rPr>
          <w:rFonts w:hint="eastAsia" w:ascii="宋体" w:hAnsi="宋体"/>
          <w:sz w:val="21"/>
          <w:szCs w:val="21"/>
        </w:rPr>
      </w:pPr>
      <w:r>
        <w:rPr>
          <w:rFonts w:hint="eastAsia" w:ascii="宋体" w:hAnsi="宋体"/>
          <w:sz w:val="21"/>
          <w:szCs w:val="21"/>
        </w:rPr>
        <w:t>15、招标文件</w:t>
      </w:r>
    </w:p>
    <w:p w14:paraId="4485C437">
      <w:pPr>
        <w:spacing w:line="360" w:lineRule="auto"/>
        <w:ind w:firstLine="420" w:firstLineChars="200"/>
        <w:jc w:val="both"/>
        <w:rPr>
          <w:rFonts w:hint="eastAsia" w:ascii="宋体" w:hAnsi="宋体"/>
          <w:sz w:val="21"/>
          <w:szCs w:val="21"/>
        </w:rPr>
      </w:pPr>
      <w:r>
        <w:rPr>
          <w:rFonts w:hint="eastAsia" w:ascii="宋体" w:hAnsi="宋体"/>
          <w:sz w:val="21"/>
          <w:szCs w:val="21"/>
        </w:rPr>
        <w:t>招标文件包括本标书目录所列章节内容及其附件，投标人应请仔细检查招标文件及图纸资料是否齐全，如有缺漏，请立即与招标人联系解决。</w:t>
      </w:r>
    </w:p>
    <w:p w14:paraId="5AC55ACE">
      <w:pPr>
        <w:spacing w:line="360" w:lineRule="auto"/>
        <w:ind w:firstLine="420" w:firstLineChars="200"/>
        <w:jc w:val="both"/>
        <w:rPr>
          <w:rFonts w:hint="eastAsia" w:ascii="宋体" w:hAnsi="宋体"/>
          <w:sz w:val="21"/>
          <w:szCs w:val="21"/>
        </w:rPr>
      </w:pPr>
      <w:r>
        <w:rPr>
          <w:rFonts w:hint="eastAsia" w:ascii="宋体" w:hAnsi="宋体"/>
          <w:sz w:val="21"/>
          <w:szCs w:val="21"/>
        </w:rPr>
        <w:t>投标单位应仔细阅读招标文件，并在投标书中充分反映招标文件的所有要求。不按招标文件的要求提供的投标文件和资料，则被视为无效标而导致投标被拒绝。</w:t>
      </w:r>
    </w:p>
    <w:p w14:paraId="60396F18">
      <w:pPr>
        <w:spacing w:line="360" w:lineRule="auto"/>
        <w:ind w:firstLine="420" w:firstLineChars="200"/>
        <w:jc w:val="both"/>
        <w:rPr>
          <w:rFonts w:hint="eastAsia" w:ascii="宋体" w:hAnsi="宋体"/>
          <w:sz w:val="21"/>
          <w:szCs w:val="21"/>
        </w:rPr>
      </w:pPr>
      <w:r>
        <w:rPr>
          <w:rFonts w:hint="eastAsia" w:ascii="宋体" w:hAnsi="宋体"/>
          <w:sz w:val="21"/>
          <w:szCs w:val="21"/>
        </w:rPr>
        <w:t>投标人获取招标文件后，应仔细检查招标文件的所有内容，如有残缺问题应在获得招标文件3天内及时向招标人提出并更换，否则由此引起的后果由投标人自己承担。</w:t>
      </w:r>
    </w:p>
    <w:p w14:paraId="1667D8E4">
      <w:pPr>
        <w:spacing w:line="360" w:lineRule="auto"/>
        <w:ind w:firstLine="420" w:firstLineChars="200"/>
        <w:jc w:val="both"/>
        <w:rPr>
          <w:rFonts w:hint="eastAsia" w:ascii="宋体" w:hAnsi="宋体"/>
          <w:sz w:val="21"/>
          <w:szCs w:val="21"/>
        </w:rPr>
      </w:pPr>
      <w:r>
        <w:rPr>
          <w:rFonts w:hint="eastAsia" w:ascii="宋体" w:hAnsi="宋体"/>
          <w:sz w:val="21"/>
          <w:szCs w:val="21"/>
        </w:rPr>
        <w:t>投标人应认真审阅招标文件中所有条款内容、图纸资料等，并对自己就有关文件所做出的结论负责。</w:t>
      </w:r>
    </w:p>
    <w:p w14:paraId="28F86F42">
      <w:pPr>
        <w:spacing w:line="360" w:lineRule="auto"/>
        <w:ind w:firstLine="420" w:firstLineChars="200"/>
        <w:jc w:val="both"/>
        <w:rPr>
          <w:rFonts w:hint="eastAsia" w:ascii="宋体" w:hAnsi="宋体"/>
          <w:sz w:val="21"/>
          <w:szCs w:val="21"/>
        </w:rPr>
      </w:pPr>
      <w:r>
        <w:rPr>
          <w:rFonts w:hint="eastAsia" w:ascii="宋体" w:hAnsi="宋体"/>
          <w:sz w:val="21"/>
          <w:szCs w:val="21"/>
        </w:rPr>
        <w:t>16、投标文件的审查</w:t>
      </w:r>
    </w:p>
    <w:p w14:paraId="5DD0F4F1">
      <w:pPr>
        <w:spacing w:line="360" w:lineRule="auto"/>
        <w:ind w:firstLine="420" w:firstLineChars="200"/>
        <w:jc w:val="both"/>
        <w:rPr>
          <w:rFonts w:hint="eastAsia" w:ascii="宋体" w:hAnsi="宋体"/>
          <w:sz w:val="21"/>
          <w:szCs w:val="21"/>
        </w:rPr>
      </w:pPr>
      <w:r>
        <w:rPr>
          <w:rFonts w:hint="eastAsia" w:ascii="宋体" w:hAnsi="宋体"/>
          <w:sz w:val="21"/>
          <w:szCs w:val="21"/>
        </w:rPr>
        <w:t>文字与图表不符，以文字为准。</w:t>
      </w:r>
    </w:p>
    <w:p w14:paraId="3451A3B5">
      <w:pPr>
        <w:spacing w:line="360" w:lineRule="auto"/>
        <w:ind w:firstLine="420" w:firstLineChars="200"/>
        <w:jc w:val="both"/>
        <w:rPr>
          <w:rFonts w:hint="eastAsia" w:ascii="宋体" w:hAnsi="宋体"/>
          <w:sz w:val="21"/>
          <w:szCs w:val="21"/>
        </w:rPr>
      </w:pPr>
      <w:r>
        <w:rPr>
          <w:rFonts w:hint="eastAsia" w:ascii="宋体" w:hAnsi="宋体"/>
          <w:sz w:val="21"/>
          <w:szCs w:val="21"/>
        </w:rPr>
        <w:t>单价与总价不符，以单价为准。</w:t>
      </w:r>
    </w:p>
    <w:p w14:paraId="3B022EA5">
      <w:pPr>
        <w:spacing w:line="360" w:lineRule="auto"/>
        <w:ind w:firstLine="420" w:firstLineChars="200"/>
        <w:jc w:val="both"/>
        <w:rPr>
          <w:rFonts w:hint="eastAsia" w:ascii="宋体" w:hAnsi="宋体"/>
          <w:sz w:val="21"/>
          <w:szCs w:val="21"/>
        </w:rPr>
      </w:pPr>
      <w:r>
        <w:rPr>
          <w:rFonts w:hint="eastAsia" w:ascii="宋体" w:hAnsi="宋体"/>
          <w:sz w:val="21"/>
          <w:szCs w:val="21"/>
        </w:rPr>
        <w:t>大写与小写不符，以大写为准。</w:t>
      </w:r>
    </w:p>
    <w:p w14:paraId="5DC44C40">
      <w:pPr>
        <w:spacing w:line="360" w:lineRule="auto"/>
        <w:ind w:firstLine="420" w:firstLineChars="200"/>
        <w:jc w:val="both"/>
        <w:rPr>
          <w:rFonts w:hint="eastAsia" w:ascii="宋体" w:hAnsi="宋体"/>
          <w:sz w:val="21"/>
          <w:szCs w:val="21"/>
        </w:rPr>
      </w:pPr>
      <w:r>
        <w:rPr>
          <w:rFonts w:hint="eastAsia" w:ascii="宋体" w:hAnsi="宋体"/>
          <w:sz w:val="21"/>
          <w:szCs w:val="21"/>
        </w:rPr>
        <w:t>正本与副本不符，以正本为准。</w:t>
      </w:r>
    </w:p>
    <w:p w14:paraId="4EAE2B0F">
      <w:pPr>
        <w:spacing w:line="360" w:lineRule="auto"/>
        <w:ind w:firstLine="420" w:firstLineChars="200"/>
        <w:jc w:val="both"/>
        <w:rPr>
          <w:rFonts w:hint="eastAsia" w:ascii="宋体" w:hAnsi="宋体"/>
          <w:sz w:val="21"/>
          <w:szCs w:val="21"/>
        </w:rPr>
      </w:pPr>
      <w:r>
        <w:rPr>
          <w:rFonts w:hint="eastAsia" w:ascii="宋体" w:hAnsi="宋体"/>
          <w:sz w:val="21"/>
          <w:szCs w:val="21"/>
        </w:rPr>
        <w:t>投标文件是否符合招标文件的要求。</w:t>
      </w:r>
    </w:p>
    <w:p w14:paraId="0AB6C94D">
      <w:pPr>
        <w:numPr>
          <w:ilvl w:val="0"/>
          <w:numId w:val="6"/>
        </w:numPr>
        <w:spacing w:line="360" w:lineRule="auto"/>
        <w:ind w:firstLine="420" w:firstLineChars="200"/>
        <w:jc w:val="both"/>
        <w:rPr>
          <w:rFonts w:hint="eastAsia" w:ascii="宋体" w:hAnsi="宋体"/>
          <w:sz w:val="21"/>
          <w:szCs w:val="21"/>
        </w:rPr>
      </w:pPr>
      <w:r>
        <w:rPr>
          <w:rFonts w:hint="eastAsia" w:ascii="宋体" w:hAnsi="宋体"/>
          <w:sz w:val="21"/>
          <w:szCs w:val="21"/>
        </w:rPr>
        <w:t>无效标书的确认</w:t>
      </w:r>
    </w:p>
    <w:p w14:paraId="21554333">
      <w:pPr>
        <w:spacing w:line="360" w:lineRule="auto"/>
        <w:ind w:firstLine="420" w:firstLineChars="200"/>
        <w:jc w:val="both"/>
        <w:rPr>
          <w:rFonts w:hint="eastAsia" w:ascii="宋体" w:hAnsi="宋体"/>
          <w:sz w:val="21"/>
          <w:szCs w:val="21"/>
        </w:rPr>
      </w:pPr>
      <w:r>
        <w:rPr>
          <w:rFonts w:hint="eastAsia" w:ascii="宋体" w:hAnsi="宋体"/>
          <w:sz w:val="21"/>
          <w:szCs w:val="21"/>
        </w:rPr>
        <w:t>投标人有下列情况之一者，所投标书无效：</w:t>
      </w:r>
    </w:p>
    <w:p w14:paraId="5EFFC628">
      <w:pPr>
        <w:numPr>
          <w:ilvl w:val="0"/>
          <w:numId w:val="7"/>
        </w:numPr>
        <w:spacing w:line="360" w:lineRule="auto"/>
        <w:ind w:left="0" w:firstLine="420" w:firstLineChars="200"/>
        <w:jc w:val="both"/>
        <w:rPr>
          <w:rFonts w:hint="eastAsia" w:ascii="宋体" w:hAnsi="宋体"/>
          <w:sz w:val="21"/>
          <w:szCs w:val="21"/>
        </w:rPr>
      </w:pPr>
      <w:r>
        <w:rPr>
          <w:rFonts w:hint="eastAsia" w:ascii="宋体" w:hAnsi="宋体"/>
          <w:sz w:val="21"/>
          <w:szCs w:val="21"/>
        </w:rPr>
        <w:t>投标书未密封的；</w:t>
      </w:r>
    </w:p>
    <w:p w14:paraId="1561C314">
      <w:pPr>
        <w:numPr>
          <w:ilvl w:val="0"/>
          <w:numId w:val="7"/>
        </w:numPr>
        <w:spacing w:line="360" w:lineRule="auto"/>
        <w:ind w:left="0" w:firstLine="420" w:firstLineChars="200"/>
        <w:jc w:val="both"/>
        <w:rPr>
          <w:rFonts w:hint="eastAsia" w:ascii="宋体" w:hAnsi="宋体"/>
          <w:sz w:val="21"/>
          <w:szCs w:val="21"/>
        </w:rPr>
      </w:pPr>
      <w:r>
        <w:rPr>
          <w:rFonts w:hint="eastAsia" w:ascii="宋体" w:hAnsi="宋体"/>
          <w:sz w:val="21"/>
          <w:szCs w:val="21"/>
        </w:rPr>
        <w:t>投标书未按规定加盖投标单位公章（或合同章）的；</w:t>
      </w:r>
    </w:p>
    <w:p w14:paraId="628581DF">
      <w:pPr>
        <w:numPr>
          <w:ilvl w:val="0"/>
          <w:numId w:val="7"/>
        </w:numPr>
        <w:spacing w:line="360" w:lineRule="auto"/>
        <w:ind w:left="0" w:firstLine="420" w:firstLineChars="200"/>
        <w:jc w:val="both"/>
        <w:rPr>
          <w:rFonts w:hint="eastAsia" w:ascii="宋体" w:hAnsi="宋体"/>
          <w:sz w:val="21"/>
          <w:szCs w:val="21"/>
        </w:rPr>
      </w:pPr>
      <w:r>
        <w:rPr>
          <w:rFonts w:hint="eastAsia" w:ascii="宋体" w:hAnsi="宋体"/>
          <w:sz w:val="21"/>
          <w:szCs w:val="21"/>
        </w:rPr>
        <w:t>投标单位法定代表人或其代理人资料未按规定加盖公章（或签字）的；</w:t>
      </w:r>
    </w:p>
    <w:p w14:paraId="36D43D46">
      <w:pPr>
        <w:numPr>
          <w:ilvl w:val="0"/>
          <w:numId w:val="7"/>
        </w:numPr>
        <w:spacing w:line="360" w:lineRule="auto"/>
        <w:ind w:left="0" w:firstLine="420" w:firstLineChars="200"/>
        <w:jc w:val="both"/>
        <w:rPr>
          <w:rFonts w:hint="eastAsia" w:ascii="宋体" w:hAnsi="宋体"/>
          <w:sz w:val="21"/>
          <w:szCs w:val="21"/>
        </w:rPr>
      </w:pPr>
      <w:r>
        <w:rPr>
          <w:rFonts w:hint="eastAsia" w:ascii="宋体" w:hAnsi="宋体"/>
          <w:sz w:val="21"/>
          <w:szCs w:val="21"/>
        </w:rPr>
        <w:t>投标书未按规定的格式，内容和要求填写的；</w:t>
      </w:r>
    </w:p>
    <w:p w14:paraId="073F8A8A">
      <w:pPr>
        <w:numPr>
          <w:ilvl w:val="0"/>
          <w:numId w:val="7"/>
        </w:numPr>
        <w:spacing w:line="360" w:lineRule="auto"/>
        <w:ind w:left="0" w:firstLine="420" w:firstLineChars="200"/>
        <w:jc w:val="both"/>
        <w:rPr>
          <w:rFonts w:hint="eastAsia" w:ascii="宋体" w:hAnsi="宋体"/>
          <w:sz w:val="21"/>
          <w:szCs w:val="21"/>
        </w:rPr>
      </w:pPr>
      <w:r>
        <w:rPr>
          <w:rFonts w:hint="eastAsia" w:ascii="宋体" w:hAnsi="宋体"/>
          <w:sz w:val="21"/>
          <w:szCs w:val="21"/>
        </w:rPr>
        <w:t>投标书书写潦草，字迹模糊不清，无法辨认的；</w:t>
      </w:r>
    </w:p>
    <w:p w14:paraId="2BB27706">
      <w:pPr>
        <w:numPr>
          <w:ilvl w:val="0"/>
          <w:numId w:val="7"/>
        </w:numPr>
        <w:spacing w:line="360" w:lineRule="auto"/>
        <w:ind w:left="0" w:firstLine="420" w:firstLineChars="200"/>
        <w:jc w:val="both"/>
        <w:rPr>
          <w:rFonts w:hint="eastAsia" w:ascii="宋体" w:hAnsi="宋体"/>
          <w:sz w:val="21"/>
          <w:szCs w:val="21"/>
        </w:rPr>
      </w:pPr>
      <w:r>
        <w:rPr>
          <w:rFonts w:hint="eastAsia" w:ascii="宋体" w:hAnsi="宋体"/>
          <w:sz w:val="21"/>
          <w:szCs w:val="21"/>
        </w:rPr>
        <w:t>投标书内容不全或自相矛盾的；</w:t>
      </w:r>
    </w:p>
    <w:p w14:paraId="788CDF11">
      <w:pPr>
        <w:numPr>
          <w:ilvl w:val="0"/>
          <w:numId w:val="7"/>
        </w:numPr>
        <w:spacing w:line="360" w:lineRule="auto"/>
        <w:ind w:left="0" w:firstLine="420" w:firstLineChars="200"/>
        <w:jc w:val="both"/>
        <w:rPr>
          <w:rFonts w:hint="eastAsia" w:ascii="宋体" w:hAnsi="宋体"/>
          <w:sz w:val="21"/>
          <w:szCs w:val="21"/>
        </w:rPr>
      </w:pPr>
      <w:r>
        <w:rPr>
          <w:rFonts w:hint="eastAsia" w:ascii="宋体" w:hAnsi="宋体"/>
          <w:sz w:val="21"/>
          <w:szCs w:val="21"/>
        </w:rPr>
        <w:t>同一项目有多个投标报价、且未声明以哪一个为准的；</w:t>
      </w:r>
    </w:p>
    <w:p w14:paraId="4F5690BA">
      <w:pPr>
        <w:numPr>
          <w:ilvl w:val="0"/>
          <w:numId w:val="7"/>
        </w:numPr>
        <w:spacing w:line="360" w:lineRule="auto"/>
        <w:ind w:left="0" w:firstLine="420" w:firstLineChars="200"/>
        <w:jc w:val="both"/>
        <w:rPr>
          <w:rFonts w:hint="eastAsia" w:ascii="宋体" w:hAnsi="宋体"/>
          <w:sz w:val="21"/>
          <w:szCs w:val="21"/>
        </w:rPr>
      </w:pPr>
      <w:r>
        <w:rPr>
          <w:rFonts w:hint="eastAsia" w:ascii="宋体" w:hAnsi="宋体"/>
          <w:sz w:val="21"/>
          <w:szCs w:val="21"/>
        </w:rPr>
        <w:t>投标书超过规定期限送达的；</w:t>
      </w:r>
    </w:p>
    <w:p w14:paraId="46FB0BA8">
      <w:pPr>
        <w:numPr>
          <w:ilvl w:val="0"/>
          <w:numId w:val="7"/>
        </w:numPr>
        <w:spacing w:line="360" w:lineRule="auto"/>
        <w:ind w:left="0" w:firstLine="420" w:firstLineChars="200"/>
        <w:jc w:val="both"/>
        <w:rPr>
          <w:rFonts w:hint="eastAsia" w:ascii="宋体" w:hAnsi="宋体"/>
          <w:sz w:val="21"/>
          <w:szCs w:val="21"/>
        </w:rPr>
      </w:pPr>
      <w:r>
        <w:rPr>
          <w:rFonts w:hint="eastAsia" w:ascii="宋体" w:hAnsi="宋体"/>
          <w:sz w:val="21"/>
          <w:szCs w:val="21"/>
        </w:rPr>
        <w:t>投标人未准时参加开标会议的；</w:t>
      </w:r>
    </w:p>
    <w:p w14:paraId="27FB0EF0">
      <w:pPr>
        <w:numPr>
          <w:ilvl w:val="0"/>
          <w:numId w:val="7"/>
        </w:numPr>
        <w:spacing w:line="360" w:lineRule="auto"/>
        <w:ind w:left="0" w:firstLine="420" w:firstLineChars="200"/>
        <w:jc w:val="both"/>
        <w:rPr>
          <w:rFonts w:hint="eastAsia" w:ascii="宋体" w:hAnsi="宋体"/>
          <w:sz w:val="21"/>
          <w:szCs w:val="21"/>
        </w:rPr>
      </w:pPr>
      <w:r>
        <w:rPr>
          <w:rFonts w:hint="eastAsia" w:ascii="宋体" w:hAnsi="宋体"/>
          <w:sz w:val="21"/>
          <w:szCs w:val="21"/>
        </w:rPr>
        <w:t>未按规定交纳投标保证金的；</w:t>
      </w:r>
    </w:p>
    <w:p w14:paraId="6578DE08">
      <w:pPr>
        <w:numPr>
          <w:ilvl w:val="0"/>
          <w:numId w:val="7"/>
        </w:numPr>
        <w:spacing w:line="360" w:lineRule="auto"/>
        <w:ind w:left="0" w:firstLine="420" w:firstLineChars="200"/>
        <w:jc w:val="both"/>
        <w:rPr>
          <w:rFonts w:hint="eastAsia" w:ascii="宋体" w:hAnsi="宋体"/>
          <w:sz w:val="21"/>
          <w:szCs w:val="21"/>
        </w:rPr>
      </w:pPr>
      <w:r>
        <w:rPr>
          <w:rFonts w:hint="eastAsia" w:ascii="宋体" w:hAnsi="宋体"/>
          <w:sz w:val="21"/>
          <w:szCs w:val="21"/>
        </w:rPr>
        <w:t>恶意串通其他投标人，故意哄抬价格或压价，违反国家有关政策的；</w:t>
      </w:r>
    </w:p>
    <w:p w14:paraId="68EAD8BB">
      <w:pPr>
        <w:numPr>
          <w:ilvl w:val="0"/>
          <w:numId w:val="7"/>
        </w:numPr>
        <w:spacing w:line="360" w:lineRule="auto"/>
        <w:ind w:left="0" w:firstLine="422" w:firstLineChars="200"/>
        <w:jc w:val="both"/>
        <w:rPr>
          <w:rFonts w:hint="eastAsia" w:ascii="宋体" w:hAnsi="宋体"/>
          <w:sz w:val="21"/>
          <w:szCs w:val="21"/>
        </w:rPr>
      </w:pPr>
      <w:r>
        <w:rPr>
          <w:rFonts w:hint="eastAsia" w:ascii="宋体" w:hAnsi="宋体"/>
          <w:b/>
          <w:bCs/>
          <w:sz w:val="21"/>
          <w:szCs w:val="21"/>
        </w:rPr>
        <w:t>投标人的投标书未完全响应招标文件要求的；</w:t>
      </w:r>
    </w:p>
    <w:p w14:paraId="1489797E">
      <w:pPr>
        <w:numPr>
          <w:ilvl w:val="0"/>
          <w:numId w:val="7"/>
        </w:numPr>
        <w:spacing w:line="360" w:lineRule="auto"/>
        <w:ind w:left="0" w:firstLine="420" w:firstLineChars="200"/>
        <w:jc w:val="both"/>
        <w:rPr>
          <w:rFonts w:hint="eastAsia" w:ascii="宋体" w:hAnsi="宋体"/>
          <w:sz w:val="21"/>
          <w:szCs w:val="21"/>
        </w:rPr>
      </w:pPr>
      <w:r>
        <w:rPr>
          <w:rFonts w:hint="eastAsia" w:ascii="宋体" w:hAnsi="宋体"/>
          <w:sz w:val="21"/>
          <w:szCs w:val="21"/>
        </w:rPr>
        <w:t>投标单位不具备招标文件中规定资格要求的。</w:t>
      </w:r>
    </w:p>
    <w:bookmarkEnd w:id="14"/>
    <w:p w14:paraId="79069E67">
      <w:pPr>
        <w:pStyle w:val="2"/>
        <w:numPr>
          <w:ilvl w:val="0"/>
          <w:numId w:val="0"/>
        </w:numPr>
        <w:spacing w:before="120" w:beforeLines="50" w:line="360" w:lineRule="auto"/>
        <w:rPr>
          <w:rFonts w:ascii="宋体" w:eastAsia="宋体"/>
          <w:b/>
          <w:bCs/>
          <w:sz w:val="24"/>
          <w:szCs w:val="24"/>
        </w:rPr>
      </w:pPr>
    </w:p>
    <w:bookmarkEnd w:id="10"/>
    <w:p w14:paraId="061CC8DB">
      <w:pPr>
        <w:ind w:right="640" w:rightChars="320"/>
        <w:jc w:val="center"/>
      </w:pPr>
    </w:p>
    <w:sectPr>
      <w:footerReference r:id="rId8" w:type="default"/>
      <w:pgSz w:w="11907" w:h="16840"/>
      <w:pgMar w:top="1480" w:right="1134" w:bottom="1276" w:left="1134" w:header="851" w:footer="907"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869B3">
    <w:pPr>
      <w:spacing w:line="36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016CC">
    <w:pPr>
      <w:spacing w:line="36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56881">
    <w:pPr>
      <w:spacing w:line="360" w:lineRule="auto"/>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94F389">
                          <w:r>
                            <w:fldChar w:fldCharType="begin"/>
                          </w:r>
                          <w:r>
                            <w:instrText xml:space="preserve"> PAGE  \* MERGEFORMAT </w:instrText>
                          </w:r>
                          <w:r>
                            <w:fldChar w:fldCharType="separate"/>
                          </w:r>
                          <w:r>
                            <w:t>15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F94F389">
                    <w:r>
                      <w:fldChar w:fldCharType="begin"/>
                    </w:r>
                    <w:r>
                      <w:instrText xml:space="preserve"> PAGE  \* MERGEFORMAT </w:instrText>
                    </w:r>
                    <w:r>
                      <w:fldChar w:fldCharType="separate"/>
                    </w:r>
                    <w:r>
                      <w:t>15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7F094">
    <w:pPr>
      <w:pStyle w:val="8"/>
      <w:pBdr>
        <w:bottom w:val="single" w:color="auto" w:sz="6" w:space="13"/>
      </w:pBdr>
      <w:tabs>
        <w:tab w:val="center" w:pos="0"/>
        <w:tab w:val="clear" w:pos="4153"/>
      </w:tabs>
      <w:ind w:firstLine="810" w:firstLineChars="450"/>
      <w:jc w:val="both"/>
      <w:rPr>
        <w:sz w:val="24"/>
        <w:szCs w:val="24"/>
      </w:rPr>
    </w:pPr>
    <w:r>
      <w:drawing>
        <wp:anchor distT="0" distB="0" distL="114300" distR="114300" simplePos="0" relativeHeight="251660288" behindDoc="0" locked="0" layoutInCell="1" allowOverlap="1">
          <wp:simplePos x="0" y="0"/>
          <wp:positionH relativeFrom="column">
            <wp:posOffset>3810</wp:posOffset>
          </wp:positionH>
          <wp:positionV relativeFrom="paragraph">
            <wp:posOffset>-126365</wp:posOffset>
          </wp:positionV>
          <wp:extent cx="485775" cy="476250"/>
          <wp:effectExtent l="0" t="0" r="9525" b="0"/>
          <wp:wrapTight wrapText="bothSides">
            <wp:wrapPolygon>
              <wp:start x="0" y="0"/>
              <wp:lineTo x="0" y="20736"/>
              <wp:lineTo x="20471" y="20736"/>
              <wp:lineTo x="20471" y="0"/>
              <wp:lineTo x="0" y="0"/>
            </wp:wrapPolygon>
          </wp:wrapTight>
          <wp:docPr id="4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5"/>
                  <pic:cNvPicPr>
                    <a:picLocks noChangeAspect="1"/>
                  </pic:cNvPicPr>
                </pic:nvPicPr>
                <pic:blipFill>
                  <a:blip r:embed="rId1"/>
                  <a:stretch>
                    <a:fillRect/>
                  </a:stretch>
                </pic:blipFill>
                <pic:spPr>
                  <a:xfrm>
                    <a:off x="0" y="0"/>
                    <a:ext cx="485775" cy="476250"/>
                  </a:xfrm>
                  <a:prstGeom prst="rect">
                    <a:avLst/>
                  </a:prstGeom>
                  <a:noFill/>
                  <a:ln>
                    <a:noFill/>
                  </a:ln>
                </pic:spPr>
              </pic:pic>
            </a:graphicData>
          </a:graphic>
        </wp:anchor>
      </w:drawing>
    </w:r>
    <w:r>
      <w:rPr>
        <w:sz w:val="24"/>
        <w:szCs w:val="24"/>
      </w:rP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35" cy="0"/>
              <wp:effectExtent l="0" t="0" r="0" b="0"/>
              <wp:wrapNone/>
              <wp:docPr id="43" name="矩形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anchor>
          </w:drawing>
        </mc:Choice>
        <mc:Fallback>
          <w:pict>
            <v:rect id="_x0000_s1026" o:spid="_x0000_s1026" o:spt="1" style="position:absolute;left:0pt;height:0pt;width:0.05pt;mso-position-horizontal:center;mso-position-horizontal-relative:margin;mso-position-vertical:center;mso-position-vertical-relative:margin;z-index:-251657216;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Phwl/c8AAAD/AAAADwAAAAAA&#10;AAABACAAAAAiAAAAZHJzL2Rvd25yZXYueG1sUEsBAhQAFAAAAAgAh07iQHJkf+OqAQAAWwMAAA4A&#10;AAAAAAAAAQAgAAAAHgEAAGRycy9lMm9Eb2MueG1sUEsFBgAAAAAGAAYAWQEAADoFAAAAAA==&#10;">
              <v:fill on="f" focussize="0,0"/>
              <v:stroke on="f"/>
              <v:imagedata o:title=""/>
              <o:lock v:ext="edit" aspectratio="t"/>
            </v:rect>
          </w:pict>
        </mc:Fallback>
      </mc:AlternateContent>
    </w:r>
    <w:r>
      <w:rPr>
        <w:rFonts w:hint="eastAsia"/>
        <w:sz w:val="24"/>
        <w:szCs w:val="24"/>
      </w:rPr>
      <w:t>思念食品有限公司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A310D">
    <w:pPr>
      <w:pStyle w:val="8"/>
    </w:pPr>
    <w:r>
      <w:pict>
        <v:shape id="PowerPlusWaterMarkObject20" o:spid="_x0000_s1042" o:spt="136" type="#_x0000_t136" style="position:absolute;left:0pt;margin-left:-56.2pt;margin-top:0pt;height:15.8pt;width:102.65pt;rotation:-1310720f;z-index:-251638784;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21" o:spid="_x0000_s1043" o:spt="136" type="#_x0000_t136" style="position:absolute;left:0pt;margin-left:-56.2pt;margin-top:198.7pt;height:15.8pt;width:102.65pt;rotation:-1310720f;z-index:-251637760;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22" o:spid="_x0000_s1044" o:spt="136" type="#_x0000_t136" style="position:absolute;left:0pt;margin-left:-56.2pt;margin-top:397.45pt;height:15.8pt;width:102.65pt;rotation:-1310720f;z-index:-251636736;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23" o:spid="_x0000_s1045" o:spt="136" type="#_x0000_t136" style="position:absolute;left:0pt;margin-left:-56.2pt;margin-top:596.2pt;height:15.8pt;width:102.65pt;rotation:-1310720f;z-index:-251635712;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24" o:spid="_x0000_s1046" o:spt="136" type="#_x0000_t136" style="position:absolute;left:0pt;margin-left:-56.2pt;margin-top:794.95pt;height:15.8pt;width:102.65pt;rotation:-1310720f;z-index:-251634688;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25" o:spid="_x0000_s1047" o:spt="136" type="#_x0000_t136" style="position:absolute;left:0pt;margin-left:193.45pt;margin-top:0pt;height:15.8pt;width:102.65pt;rotation:-1310720f;z-index:-251633664;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26" o:spid="_x0000_s1048" o:spt="136" type="#_x0000_t136" style="position:absolute;left:0pt;margin-left:193.45pt;margin-top:198.7pt;height:15.8pt;width:102.65pt;rotation:-1310720f;z-index:-251632640;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27" o:spid="_x0000_s1049" o:spt="136" type="#_x0000_t136" style="position:absolute;left:0pt;margin-left:193.45pt;margin-top:397.45pt;height:15.8pt;width:102.65pt;rotation:-1310720f;z-index:-251631616;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28" o:spid="_x0000_s1050" o:spt="136" type="#_x0000_t136" style="position:absolute;left:0pt;margin-left:193.45pt;margin-top:596.2pt;height:15.8pt;width:102.65pt;rotation:-1310720f;z-index:-251630592;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29" o:spid="_x0000_s1051" o:spt="136" type="#_x0000_t136" style="position:absolute;left:0pt;margin-left:193.45pt;margin-top:794.95pt;height:15.8pt;width:102.65pt;rotation:-1310720f;z-index:-251629568;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30" o:spid="_x0000_s1052" o:spt="136" type="#_x0000_t136" style="position:absolute;left:0pt;margin-left:443.2pt;margin-top:0pt;height:15.8pt;width:102.65pt;rotation:-1310720f;z-index:-251628544;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31" o:spid="_x0000_s1053" o:spt="136" type="#_x0000_t136" style="position:absolute;left:0pt;margin-left:443.2pt;margin-top:198.7pt;height:15.8pt;width:102.65pt;rotation:-1310720f;z-index:-251627520;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32" o:spid="_x0000_s1054" o:spt="136" type="#_x0000_t136" style="position:absolute;left:0pt;margin-left:443.2pt;margin-top:397.45pt;height:15.8pt;width:102.65pt;rotation:-1310720f;z-index:-251626496;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33" o:spid="_x0000_s1055" o:spt="136" type="#_x0000_t136" style="position:absolute;left:0pt;margin-left:443.2pt;margin-top:596.2pt;height:15.8pt;width:102.65pt;rotation:-1310720f;z-index:-251625472;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34" o:spid="_x0000_s1056" o:spt="136" type="#_x0000_t136" style="position:absolute;left:0pt;margin-left:443.2pt;margin-top:794.95pt;height:15.8pt;width:102.65pt;rotation:-1310720f;z-index:-251624448;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F0DB8">
    <w:pPr>
      <w:pStyle w:val="8"/>
    </w:pPr>
    <w:r>
      <w:pict>
        <v:shape id="PowerPlusWaterMarkObject35" o:spid="_x0000_s1025" o:spt="136" type="#_x0000_t136" style="position:absolute;left:0pt;margin-left:-56.2pt;margin-top:0pt;height:15.8pt;width:102.65pt;rotation:-1310720f;z-index:-251654144;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36" o:spid="_x0000_s1026" o:spt="136" type="#_x0000_t136" style="position:absolute;left:0pt;margin-left:-56.2pt;margin-top:198.7pt;height:15.8pt;width:102.65pt;rotation:-1310720f;z-index:-251653120;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37" o:spid="_x0000_s1027" o:spt="136" type="#_x0000_t136" style="position:absolute;left:0pt;margin-left:-56.2pt;margin-top:397.45pt;height:15.8pt;width:102.65pt;rotation:-1310720f;z-index:-251652096;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38" o:spid="_x0000_s1028" o:spt="136" type="#_x0000_t136" style="position:absolute;left:0pt;margin-left:-56.2pt;margin-top:596.2pt;height:15.8pt;width:102.65pt;rotation:-1310720f;z-index:-251651072;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39" o:spid="_x0000_s1029" o:spt="136" type="#_x0000_t136" style="position:absolute;left:0pt;margin-left:-56.2pt;margin-top:794.95pt;height:15.8pt;width:102.65pt;rotation:-1310720f;z-index:-251650048;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40" o:spid="_x0000_s1030" o:spt="136" type="#_x0000_t136" style="position:absolute;left:0pt;margin-left:193.45pt;margin-top:0pt;height:15.8pt;width:102.65pt;rotation:-1310720f;z-index:-251649024;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41" o:spid="_x0000_s1031" o:spt="136" type="#_x0000_t136" style="position:absolute;left:0pt;margin-left:193.45pt;margin-top:198.7pt;height:15.8pt;width:102.65pt;rotation:-1310720f;z-index:-251648000;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42" o:spid="_x0000_s1032" o:spt="136" type="#_x0000_t136" style="position:absolute;left:0pt;margin-left:193.45pt;margin-top:397.45pt;height:15.8pt;width:102.65pt;rotation:-1310720f;z-index:-251646976;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43" o:spid="_x0000_s1033" o:spt="136" type="#_x0000_t136" style="position:absolute;left:0pt;margin-left:193.45pt;margin-top:596.2pt;height:15.8pt;width:102.65pt;rotation:-1310720f;z-index:-251645952;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44" o:spid="_x0000_s1034" o:spt="136" type="#_x0000_t136" style="position:absolute;left:0pt;margin-left:193.45pt;margin-top:794.95pt;height:15.8pt;width:102.65pt;rotation:-1310720f;z-index:-251644928;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45" o:spid="_x0000_s1035" o:spt="136" type="#_x0000_t136" style="position:absolute;left:0pt;margin-left:443.2pt;margin-top:0pt;height:15.8pt;width:102.65pt;rotation:-1310720f;z-index:-251643904;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46" o:spid="_x0000_s1036" o:spt="136" type="#_x0000_t136" style="position:absolute;left:0pt;margin-left:443.2pt;margin-top:198.7pt;height:15.8pt;width:102.65pt;rotation:-1310720f;z-index:-251642880;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47" o:spid="_x0000_s1037" o:spt="136" type="#_x0000_t136" style="position:absolute;left:0pt;margin-left:443.2pt;margin-top:397.45pt;height:15.8pt;width:102.65pt;rotation:-1310720f;z-index:-251641856;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48" o:spid="_x0000_s1038" o:spt="136" type="#_x0000_t136" style="position:absolute;left:0pt;margin-left:443.2pt;margin-top:596.2pt;height:15.8pt;width:102.65pt;rotation:-1310720f;z-index:-251640832;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49" o:spid="_x0000_s1039" o:spt="136" type="#_x0000_t136" style="position:absolute;left:0pt;margin-left:443.2pt;margin-top:794.95pt;height:15.8pt;width:102.65pt;rotation:-1310720f;z-index:-251639808;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6B3D56"/>
    <w:multiLevelType w:val="singleLevel"/>
    <w:tmpl w:val="B86B3D56"/>
    <w:lvl w:ilvl="0" w:tentative="0">
      <w:start w:val="2"/>
      <w:numFmt w:val="decimal"/>
      <w:lvlText w:val="%1."/>
      <w:lvlJc w:val="left"/>
      <w:pPr>
        <w:tabs>
          <w:tab w:val="left" w:pos="312"/>
        </w:tabs>
      </w:pPr>
    </w:lvl>
  </w:abstractNum>
  <w:abstractNum w:abstractNumId="1">
    <w:nsid w:val="E5C5ED03"/>
    <w:multiLevelType w:val="singleLevel"/>
    <w:tmpl w:val="E5C5ED03"/>
    <w:lvl w:ilvl="0" w:tentative="0">
      <w:start w:val="1"/>
      <w:numFmt w:val="decimal"/>
      <w:lvlText w:val="(%1)"/>
      <w:lvlJc w:val="left"/>
      <w:pPr>
        <w:ind w:left="425" w:hanging="425"/>
      </w:pPr>
      <w:rPr>
        <w:rFonts w:hint="default"/>
      </w:rPr>
    </w:lvl>
  </w:abstractNum>
  <w:abstractNum w:abstractNumId="2">
    <w:nsid w:val="00000006"/>
    <w:multiLevelType w:val="multilevel"/>
    <w:tmpl w:val="00000006"/>
    <w:lvl w:ilvl="0" w:tentative="0">
      <w:start w:val="1"/>
      <w:numFmt w:val="none"/>
      <w:pStyle w:val="2"/>
      <w:lvlText w:val=""/>
      <w:lvlJc w:val="left"/>
      <w:pPr>
        <w:ind w:left="432" w:hanging="432"/>
      </w:pPr>
      <w:rPr>
        <w:rFonts w:hint="eastAsia"/>
      </w:rPr>
    </w:lvl>
    <w:lvl w:ilvl="1" w:tentative="0">
      <w:start w:val="1"/>
      <w:numFmt w:val="none"/>
      <w:lvlText w:val=" "/>
      <w:lvlJc w:val="left"/>
      <w:pPr>
        <w:ind w:left="576" w:hanging="576"/>
      </w:pPr>
      <w:rPr>
        <w:rFonts w:hint="eastAsia"/>
      </w:rPr>
    </w:lvl>
    <w:lvl w:ilvl="2" w:tentative="0">
      <w:start w:val="1"/>
      <w:numFmt w:val="none"/>
      <w:lvlText w:val=""/>
      <w:lvlJc w:val="left"/>
      <w:pPr>
        <w:ind w:left="720" w:hanging="720"/>
      </w:pPr>
      <w:rPr>
        <w:rFonts w:hint="eastAsia"/>
      </w:rPr>
    </w:lvl>
    <w:lvl w:ilvl="3" w:tentative="0">
      <w:start w:val="1"/>
      <w:numFmt w:val="none"/>
      <w:lvlText w:val="    "/>
      <w:lvlJc w:val="left"/>
      <w:pPr>
        <w:ind w:left="864" w:hanging="864"/>
      </w:pPr>
      <w:rPr>
        <w:rFonts w:hint="eastAsia"/>
      </w:rPr>
    </w:lvl>
    <w:lvl w:ilvl="4" w:tentative="0">
      <w:start w:val="1"/>
      <w:numFmt w:val="none"/>
      <w:lvlText w:val="      "/>
      <w:lvlJc w:val="left"/>
      <w:pPr>
        <w:ind w:left="1008" w:hanging="1008"/>
      </w:pPr>
      <w:rPr>
        <w:rFonts w:hint="eastAsia"/>
      </w:rPr>
    </w:lvl>
    <w:lvl w:ilvl="5" w:tentative="0">
      <w:start w:val="1"/>
      <w:numFmt w:val="none"/>
      <w:lvlText w:val="           "/>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
    <w:nsid w:val="06B7AA8F"/>
    <w:multiLevelType w:val="singleLevel"/>
    <w:tmpl w:val="06B7AA8F"/>
    <w:lvl w:ilvl="0" w:tentative="0">
      <w:start w:val="17"/>
      <w:numFmt w:val="decimal"/>
      <w:suff w:val="nothing"/>
      <w:lvlText w:val="%1、"/>
      <w:lvlJc w:val="left"/>
    </w:lvl>
  </w:abstractNum>
  <w:abstractNum w:abstractNumId="4">
    <w:nsid w:val="5039A6A2"/>
    <w:multiLevelType w:val="singleLevel"/>
    <w:tmpl w:val="5039A6A2"/>
    <w:lvl w:ilvl="0" w:tentative="0">
      <w:start w:val="6"/>
      <w:numFmt w:val="decimal"/>
      <w:pStyle w:val="37"/>
      <w:suff w:val="nothing"/>
      <w:lvlText w:val="%1、"/>
      <w:lvlJc w:val="left"/>
      <w:pPr>
        <w:ind w:left="420" w:firstLine="0"/>
      </w:pPr>
    </w:lvl>
  </w:abstractNum>
  <w:abstractNum w:abstractNumId="5">
    <w:nsid w:val="564DC07C"/>
    <w:multiLevelType w:val="singleLevel"/>
    <w:tmpl w:val="564DC07C"/>
    <w:lvl w:ilvl="0" w:tentative="0">
      <w:start w:val="3"/>
      <w:numFmt w:val="chineseCounting"/>
      <w:suff w:val="nothing"/>
      <w:lvlText w:val="%1、"/>
      <w:lvlJc w:val="left"/>
      <w:rPr>
        <w:rFonts w:hint="eastAsia"/>
      </w:rPr>
    </w:lvl>
  </w:abstractNum>
  <w:abstractNum w:abstractNumId="6">
    <w:nsid w:val="602B5BE0"/>
    <w:multiLevelType w:val="singleLevel"/>
    <w:tmpl w:val="602B5BE0"/>
    <w:lvl w:ilvl="0" w:tentative="0">
      <w:start w:val="1"/>
      <w:numFmt w:val="decimal"/>
      <w:lvlText w:val="(%1)"/>
      <w:lvlJc w:val="left"/>
      <w:pPr>
        <w:ind w:left="425" w:hanging="425"/>
      </w:pPr>
      <w:rPr>
        <w:rFonts w:hint="default"/>
      </w:rPr>
    </w:lvl>
  </w:abstractNum>
  <w:num w:numId="1">
    <w:abstractNumId w:val="2"/>
  </w:num>
  <w:num w:numId="2">
    <w:abstractNumId w:val="4"/>
  </w:num>
  <w:num w:numId="3">
    <w:abstractNumId w:val="5"/>
  </w:num>
  <w:num w:numId="4">
    <w:abstractNumId w:val="0"/>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4EB"/>
    <w:rsid w:val="00024A3F"/>
    <w:rsid w:val="0006408C"/>
    <w:rsid w:val="00075208"/>
    <w:rsid w:val="000A76D3"/>
    <w:rsid w:val="000B46CC"/>
    <w:rsid w:val="000B46F0"/>
    <w:rsid w:val="000D325F"/>
    <w:rsid w:val="000F1BB0"/>
    <w:rsid w:val="000F6A55"/>
    <w:rsid w:val="00113D4E"/>
    <w:rsid w:val="00137CDE"/>
    <w:rsid w:val="00146A2E"/>
    <w:rsid w:val="00147736"/>
    <w:rsid w:val="00154002"/>
    <w:rsid w:val="00162D5A"/>
    <w:rsid w:val="001713B2"/>
    <w:rsid w:val="001748C4"/>
    <w:rsid w:val="00175BAA"/>
    <w:rsid w:val="0019184C"/>
    <w:rsid w:val="001C461B"/>
    <w:rsid w:val="001E1139"/>
    <w:rsid w:val="001E2640"/>
    <w:rsid w:val="00207DE9"/>
    <w:rsid w:val="00231FE1"/>
    <w:rsid w:val="00260673"/>
    <w:rsid w:val="00263CC0"/>
    <w:rsid w:val="00266625"/>
    <w:rsid w:val="002B09A8"/>
    <w:rsid w:val="002C0D15"/>
    <w:rsid w:val="002C184D"/>
    <w:rsid w:val="002E2426"/>
    <w:rsid w:val="002F5604"/>
    <w:rsid w:val="00316641"/>
    <w:rsid w:val="0035052F"/>
    <w:rsid w:val="00352E7E"/>
    <w:rsid w:val="00360B69"/>
    <w:rsid w:val="00377A94"/>
    <w:rsid w:val="00380A1A"/>
    <w:rsid w:val="003841E0"/>
    <w:rsid w:val="003B32DC"/>
    <w:rsid w:val="003C2E3E"/>
    <w:rsid w:val="003E566F"/>
    <w:rsid w:val="00407E30"/>
    <w:rsid w:val="00420DB9"/>
    <w:rsid w:val="0044357A"/>
    <w:rsid w:val="00473E57"/>
    <w:rsid w:val="004814E1"/>
    <w:rsid w:val="00485161"/>
    <w:rsid w:val="00486629"/>
    <w:rsid w:val="004B1922"/>
    <w:rsid w:val="004B3CAB"/>
    <w:rsid w:val="004F766B"/>
    <w:rsid w:val="0050062B"/>
    <w:rsid w:val="005152B7"/>
    <w:rsid w:val="0054586E"/>
    <w:rsid w:val="00555E95"/>
    <w:rsid w:val="005A2381"/>
    <w:rsid w:val="005A2876"/>
    <w:rsid w:val="005C00B6"/>
    <w:rsid w:val="005F6058"/>
    <w:rsid w:val="005F7FC9"/>
    <w:rsid w:val="006001B0"/>
    <w:rsid w:val="006107B9"/>
    <w:rsid w:val="00636250"/>
    <w:rsid w:val="00643555"/>
    <w:rsid w:val="006A4665"/>
    <w:rsid w:val="006A4CAC"/>
    <w:rsid w:val="006D01AB"/>
    <w:rsid w:val="006D06CA"/>
    <w:rsid w:val="006D44F5"/>
    <w:rsid w:val="006E10AB"/>
    <w:rsid w:val="006E156F"/>
    <w:rsid w:val="006F0377"/>
    <w:rsid w:val="006F256C"/>
    <w:rsid w:val="006F3DFE"/>
    <w:rsid w:val="00713EA7"/>
    <w:rsid w:val="00715DF2"/>
    <w:rsid w:val="007167D4"/>
    <w:rsid w:val="00722B9F"/>
    <w:rsid w:val="007709FF"/>
    <w:rsid w:val="0077610A"/>
    <w:rsid w:val="007A71DC"/>
    <w:rsid w:val="007C3B36"/>
    <w:rsid w:val="007D1E91"/>
    <w:rsid w:val="007D5141"/>
    <w:rsid w:val="007E49CC"/>
    <w:rsid w:val="00813802"/>
    <w:rsid w:val="00835A07"/>
    <w:rsid w:val="0085668C"/>
    <w:rsid w:val="008962FF"/>
    <w:rsid w:val="008B1E8B"/>
    <w:rsid w:val="008D0417"/>
    <w:rsid w:val="008D2F69"/>
    <w:rsid w:val="008D48EA"/>
    <w:rsid w:val="008E5C2E"/>
    <w:rsid w:val="009146C2"/>
    <w:rsid w:val="00916313"/>
    <w:rsid w:val="00930D88"/>
    <w:rsid w:val="00933008"/>
    <w:rsid w:val="00934297"/>
    <w:rsid w:val="009625D7"/>
    <w:rsid w:val="009668A5"/>
    <w:rsid w:val="009734EB"/>
    <w:rsid w:val="009B6D62"/>
    <w:rsid w:val="009D19AC"/>
    <w:rsid w:val="00A43496"/>
    <w:rsid w:val="00A726C1"/>
    <w:rsid w:val="00A83E04"/>
    <w:rsid w:val="00A87EF9"/>
    <w:rsid w:val="00AB72A2"/>
    <w:rsid w:val="00B02C6C"/>
    <w:rsid w:val="00B23E32"/>
    <w:rsid w:val="00B51167"/>
    <w:rsid w:val="00B762EC"/>
    <w:rsid w:val="00BA2C25"/>
    <w:rsid w:val="00BD32FA"/>
    <w:rsid w:val="00BF1D53"/>
    <w:rsid w:val="00C03BA3"/>
    <w:rsid w:val="00C2247A"/>
    <w:rsid w:val="00C37ABF"/>
    <w:rsid w:val="00C41770"/>
    <w:rsid w:val="00C436E2"/>
    <w:rsid w:val="00C5780D"/>
    <w:rsid w:val="00CA492E"/>
    <w:rsid w:val="00CA6FA9"/>
    <w:rsid w:val="00CB5DFB"/>
    <w:rsid w:val="00CC13AE"/>
    <w:rsid w:val="00CE6F24"/>
    <w:rsid w:val="00CE7A51"/>
    <w:rsid w:val="00D52543"/>
    <w:rsid w:val="00D55B61"/>
    <w:rsid w:val="00D5638B"/>
    <w:rsid w:val="00D662AC"/>
    <w:rsid w:val="00D84704"/>
    <w:rsid w:val="00DC2C2A"/>
    <w:rsid w:val="00DD0CA4"/>
    <w:rsid w:val="00DE28C4"/>
    <w:rsid w:val="00DF55A5"/>
    <w:rsid w:val="00E66238"/>
    <w:rsid w:val="00E7424D"/>
    <w:rsid w:val="00EE3A61"/>
    <w:rsid w:val="00EE4461"/>
    <w:rsid w:val="00F016DC"/>
    <w:rsid w:val="00F16B62"/>
    <w:rsid w:val="00F22C0D"/>
    <w:rsid w:val="00F51ED8"/>
    <w:rsid w:val="00F608C0"/>
    <w:rsid w:val="00F835BB"/>
    <w:rsid w:val="00F84F37"/>
    <w:rsid w:val="00F87276"/>
    <w:rsid w:val="00FA2DF7"/>
    <w:rsid w:val="00FC2117"/>
    <w:rsid w:val="00FC4D9A"/>
    <w:rsid w:val="00FC5610"/>
    <w:rsid w:val="00FE5F78"/>
    <w:rsid w:val="00FE7B6F"/>
    <w:rsid w:val="017138AA"/>
    <w:rsid w:val="02EB4449"/>
    <w:rsid w:val="04CA652F"/>
    <w:rsid w:val="068723D9"/>
    <w:rsid w:val="068C7268"/>
    <w:rsid w:val="092D57F2"/>
    <w:rsid w:val="0AE66B0A"/>
    <w:rsid w:val="113D3900"/>
    <w:rsid w:val="11CB7A9B"/>
    <w:rsid w:val="156A6CCD"/>
    <w:rsid w:val="165F3C05"/>
    <w:rsid w:val="17F84468"/>
    <w:rsid w:val="19FB202D"/>
    <w:rsid w:val="1C9E53A9"/>
    <w:rsid w:val="1E6B351B"/>
    <w:rsid w:val="1F4B3808"/>
    <w:rsid w:val="217840D5"/>
    <w:rsid w:val="24F804B5"/>
    <w:rsid w:val="27166352"/>
    <w:rsid w:val="299813C4"/>
    <w:rsid w:val="2ED965C4"/>
    <w:rsid w:val="310D6D33"/>
    <w:rsid w:val="3133723F"/>
    <w:rsid w:val="320B3B8C"/>
    <w:rsid w:val="355D51D8"/>
    <w:rsid w:val="3F1449AB"/>
    <w:rsid w:val="3F954062"/>
    <w:rsid w:val="44476729"/>
    <w:rsid w:val="4A1B043B"/>
    <w:rsid w:val="4A743FEF"/>
    <w:rsid w:val="4A7F7901"/>
    <w:rsid w:val="51CA691B"/>
    <w:rsid w:val="51F71A71"/>
    <w:rsid w:val="5254083F"/>
    <w:rsid w:val="54A11841"/>
    <w:rsid w:val="567A3C85"/>
    <w:rsid w:val="581A2E05"/>
    <w:rsid w:val="5D957B91"/>
    <w:rsid w:val="5DA3762C"/>
    <w:rsid w:val="6434019A"/>
    <w:rsid w:val="681044C5"/>
    <w:rsid w:val="6A1F09E3"/>
    <w:rsid w:val="6A7D43A3"/>
    <w:rsid w:val="78B324EE"/>
    <w:rsid w:val="7DDF73F6"/>
    <w:rsid w:val="7E7044F2"/>
    <w:rsid w:val="7FB42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next w:val="1"/>
    <w:link w:val="21"/>
    <w:qFormat/>
    <w:uiPriority w:val="0"/>
    <w:pPr>
      <w:keepNext/>
      <w:numPr>
        <w:ilvl w:val="0"/>
        <w:numId w:val="1"/>
      </w:numPr>
      <w:jc w:val="center"/>
      <w:outlineLvl w:val="0"/>
    </w:pPr>
    <w:rPr>
      <w:rFonts w:ascii="黑体" w:eastAsia="黑体"/>
      <w:sz w:val="52"/>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unhideWhenUsed/>
    <w:qFormat/>
    <w:uiPriority w:val="0"/>
    <w:pPr>
      <w:widowControl w:val="0"/>
    </w:pPr>
    <w:rPr>
      <w:kern w:val="2"/>
      <w:sz w:val="21"/>
      <w:szCs w:val="24"/>
    </w:rPr>
  </w:style>
  <w:style w:type="paragraph" w:styleId="5">
    <w:name w:val="Body Text"/>
    <w:basedOn w:val="1"/>
    <w:next w:val="1"/>
    <w:link w:val="29"/>
    <w:qFormat/>
    <w:uiPriority w:val="1"/>
    <w:pPr>
      <w:widowControl w:val="0"/>
      <w:spacing w:after="120"/>
      <w:jc w:val="both"/>
    </w:pPr>
    <w:rPr>
      <w:kern w:val="2"/>
      <w:sz w:val="21"/>
      <w:szCs w:val="24"/>
    </w:rPr>
  </w:style>
  <w:style w:type="paragraph" w:styleId="6">
    <w:name w:val="Plain Text"/>
    <w:basedOn w:val="1"/>
    <w:link w:val="34"/>
    <w:unhideWhenUsed/>
    <w:qFormat/>
    <w:uiPriority w:val="0"/>
    <w:pPr>
      <w:widowControl w:val="0"/>
      <w:jc w:val="both"/>
    </w:pPr>
    <w:rPr>
      <w:rFonts w:ascii="宋体" w:hAnsi="Courier New"/>
      <w:kern w:val="2"/>
      <w:sz w:val="21"/>
      <w:szCs w:val="21"/>
    </w:rPr>
  </w:style>
  <w:style w:type="paragraph" w:styleId="7">
    <w:name w:val="Date"/>
    <w:basedOn w:val="1"/>
    <w:next w:val="1"/>
    <w:link w:val="28"/>
    <w:qFormat/>
    <w:uiPriority w:val="0"/>
    <w:pPr>
      <w:ind w:left="100" w:leftChars="2500"/>
    </w:pPr>
  </w:style>
  <w:style w:type="paragraph" w:styleId="8">
    <w:name w:val="footer"/>
    <w:basedOn w:val="1"/>
    <w:link w:val="22"/>
    <w:qFormat/>
    <w:uiPriority w:val="99"/>
    <w:pPr>
      <w:tabs>
        <w:tab w:val="center" w:pos="4153"/>
        <w:tab w:val="right" w:pos="8306"/>
      </w:tabs>
      <w:snapToGrid w:val="0"/>
    </w:pPr>
    <w:rPr>
      <w:sz w:val="18"/>
      <w:szCs w:val="18"/>
    </w:rPr>
  </w:style>
  <w:style w:type="paragraph" w:styleId="9">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tabs>
        <w:tab w:val="right" w:leader="dot" w:pos="9628"/>
      </w:tabs>
      <w:spacing w:line="360" w:lineRule="auto"/>
      <w:ind w:firstLine="135" w:firstLineChars="135"/>
      <w:jc w:val="right"/>
    </w:pPr>
  </w:style>
  <w:style w:type="paragraph" w:styleId="11">
    <w:name w:val="Subtitle"/>
    <w:basedOn w:val="1"/>
    <w:next w:val="1"/>
    <w:link w:val="33"/>
    <w:qFormat/>
    <w:uiPriority w:val="0"/>
    <w:pPr>
      <w:widowControl w:val="0"/>
      <w:spacing w:before="240" w:after="60" w:line="312" w:lineRule="auto"/>
      <w:jc w:val="center"/>
      <w:outlineLvl w:val="1"/>
    </w:pPr>
    <w:rPr>
      <w:rFonts w:ascii="Cambria" w:hAnsi="Cambria"/>
      <w:b/>
      <w:bCs/>
      <w:kern w:val="28"/>
      <w:sz w:val="32"/>
      <w:szCs w:val="32"/>
    </w:rPr>
  </w:style>
  <w:style w:type="paragraph" w:styleId="12">
    <w:name w:val="toc 2"/>
    <w:basedOn w:val="1"/>
    <w:next w:val="1"/>
    <w:qFormat/>
    <w:uiPriority w:val="0"/>
    <w:pPr>
      <w:tabs>
        <w:tab w:val="right" w:leader="dot" w:pos="9628"/>
      </w:tabs>
      <w:spacing w:line="360" w:lineRule="auto"/>
      <w:ind w:firstLine="270" w:firstLineChars="270"/>
      <w:jc w:val="right"/>
    </w:pPr>
  </w:style>
  <w:style w:type="paragraph" w:styleId="13">
    <w:name w:val="Title"/>
    <w:basedOn w:val="1"/>
    <w:next w:val="1"/>
    <w:link w:val="32"/>
    <w:qFormat/>
    <w:uiPriority w:val="0"/>
    <w:pPr>
      <w:widowControl w:val="0"/>
      <w:spacing w:before="240" w:after="60"/>
      <w:jc w:val="center"/>
      <w:outlineLvl w:val="0"/>
    </w:pPr>
    <w:rPr>
      <w:rFonts w:ascii="Cambria" w:hAnsi="Cambria"/>
      <w:b/>
      <w:bCs/>
      <w:kern w:val="2"/>
      <w:sz w:val="32"/>
      <w:szCs w:val="32"/>
    </w:rPr>
  </w:style>
  <w:style w:type="paragraph" w:styleId="14">
    <w:name w:val="annotation subject"/>
    <w:basedOn w:val="4"/>
    <w:next w:val="4"/>
    <w:link w:val="35"/>
    <w:unhideWhenUsed/>
    <w:qFormat/>
    <w:uiPriority w:val="0"/>
    <w:pPr>
      <w:jc w:val="both"/>
    </w:pPr>
    <w:rPr>
      <w:b/>
      <w:bCs/>
      <w:sz w:val="20"/>
      <w:szCs w:val="20"/>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bCs/>
    </w:rPr>
  </w:style>
  <w:style w:type="character" w:styleId="19">
    <w:name w:val="Hyperlink"/>
    <w:qFormat/>
    <w:uiPriority w:val="0"/>
    <w:rPr>
      <w:color w:val="337AB7"/>
      <w:u w:val="none"/>
    </w:rPr>
  </w:style>
  <w:style w:type="character" w:styleId="20">
    <w:name w:val="annotation reference"/>
    <w:unhideWhenUsed/>
    <w:qFormat/>
    <w:uiPriority w:val="0"/>
    <w:rPr>
      <w:sz w:val="16"/>
      <w:szCs w:val="16"/>
    </w:rPr>
  </w:style>
  <w:style w:type="character" w:customStyle="1" w:styleId="21">
    <w:name w:val="标题 1 字符"/>
    <w:basedOn w:val="17"/>
    <w:link w:val="2"/>
    <w:qFormat/>
    <w:uiPriority w:val="0"/>
    <w:rPr>
      <w:rFonts w:ascii="黑体" w:eastAsia="黑体"/>
      <w:sz w:val="52"/>
    </w:rPr>
  </w:style>
  <w:style w:type="character" w:customStyle="1" w:styleId="22">
    <w:name w:val="页脚 字符"/>
    <w:basedOn w:val="17"/>
    <w:link w:val="8"/>
    <w:qFormat/>
    <w:uiPriority w:val="99"/>
    <w:rPr>
      <w:sz w:val="18"/>
      <w:szCs w:val="18"/>
    </w:rPr>
  </w:style>
  <w:style w:type="character" w:customStyle="1" w:styleId="23">
    <w:name w:val="页眉 字符"/>
    <w:basedOn w:val="17"/>
    <w:link w:val="9"/>
    <w:qFormat/>
    <w:uiPriority w:val="0"/>
    <w:rPr>
      <w:sz w:val="18"/>
      <w:szCs w:val="18"/>
    </w:rPr>
  </w:style>
  <w:style w:type="paragraph" w:customStyle="1" w:styleId="24">
    <w:name w:val="Table Text"/>
    <w:basedOn w:val="1"/>
    <w:semiHidden/>
    <w:qFormat/>
    <w:uiPriority w:val="0"/>
    <w:pPr>
      <w:kinsoku w:val="0"/>
      <w:autoSpaceDE w:val="0"/>
      <w:autoSpaceDN w:val="0"/>
      <w:adjustRightInd w:val="0"/>
      <w:snapToGrid w:val="0"/>
      <w:textAlignment w:val="baseline"/>
    </w:pPr>
    <w:rPr>
      <w:rFonts w:ascii="宋体" w:hAnsi="宋体" w:cs="宋体"/>
      <w:snapToGrid w:val="0"/>
      <w:color w:val="000000"/>
      <w:sz w:val="22"/>
      <w:szCs w:val="22"/>
      <w:lang w:eastAsia="en-US"/>
    </w:rPr>
  </w:style>
  <w:style w:type="paragraph" w:customStyle="1" w:styleId="25">
    <w:name w:val="正文－华文中宋，小四"/>
    <w:basedOn w:val="1"/>
    <w:qFormat/>
    <w:uiPriority w:val="0"/>
    <w:pPr>
      <w:ind w:firstLine="233" w:firstLineChars="233"/>
    </w:pPr>
  </w:style>
  <w:style w:type="paragraph" w:customStyle="1" w:styleId="26">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rPr>
  </w:style>
  <w:style w:type="paragraph" w:styleId="27">
    <w:name w:val="List Paragraph"/>
    <w:basedOn w:val="1"/>
    <w:qFormat/>
    <w:uiPriority w:val="34"/>
    <w:pPr>
      <w:ind w:firstLine="420" w:firstLineChars="200"/>
    </w:pPr>
  </w:style>
  <w:style w:type="character" w:customStyle="1" w:styleId="28">
    <w:name w:val="日期 字符"/>
    <w:basedOn w:val="17"/>
    <w:link w:val="7"/>
    <w:qFormat/>
    <w:uiPriority w:val="0"/>
  </w:style>
  <w:style w:type="character" w:customStyle="1" w:styleId="29">
    <w:name w:val="正文文本 字符"/>
    <w:basedOn w:val="17"/>
    <w:link w:val="5"/>
    <w:qFormat/>
    <w:uiPriority w:val="1"/>
    <w:rPr>
      <w:kern w:val="2"/>
      <w:sz w:val="21"/>
      <w:szCs w:val="24"/>
    </w:rPr>
  </w:style>
  <w:style w:type="paragraph" w:customStyle="1" w:styleId="30">
    <w:name w:val="msonormal"/>
    <w:basedOn w:val="1"/>
    <w:qFormat/>
    <w:uiPriority w:val="0"/>
    <w:pPr>
      <w:spacing w:before="100" w:beforeAutospacing="1" w:after="100" w:afterAutospacing="1"/>
    </w:pPr>
    <w:rPr>
      <w:rFonts w:ascii="宋体" w:hAnsi="宋体" w:cs="宋体"/>
      <w:sz w:val="24"/>
      <w:szCs w:val="24"/>
    </w:rPr>
  </w:style>
  <w:style w:type="character" w:customStyle="1" w:styleId="31">
    <w:name w:val="批注文字 字符"/>
    <w:basedOn w:val="17"/>
    <w:link w:val="4"/>
    <w:qFormat/>
    <w:uiPriority w:val="0"/>
    <w:rPr>
      <w:kern w:val="2"/>
      <w:sz w:val="21"/>
      <w:szCs w:val="24"/>
    </w:rPr>
  </w:style>
  <w:style w:type="character" w:customStyle="1" w:styleId="32">
    <w:name w:val="标题 字符"/>
    <w:basedOn w:val="17"/>
    <w:link w:val="13"/>
    <w:qFormat/>
    <w:uiPriority w:val="0"/>
    <w:rPr>
      <w:rFonts w:ascii="Cambria" w:hAnsi="Cambria"/>
      <w:b/>
      <w:bCs/>
      <w:kern w:val="2"/>
      <w:sz w:val="32"/>
      <w:szCs w:val="32"/>
    </w:rPr>
  </w:style>
  <w:style w:type="character" w:customStyle="1" w:styleId="33">
    <w:name w:val="副标题 字符"/>
    <w:basedOn w:val="17"/>
    <w:link w:val="11"/>
    <w:qFormat/>
    <w:uiPriority w:val="0"/>
    <w:rPr>
      <w:rFonts w:ascii="Cambria" w:hAnsi="Cambria"/>
      <w:b/>
      <w:bCs/>
      <w:kern w:val="28"/>
      <w:sz w:val="32"/>
      <w:szCs w:val="32"/>
    </w:rPr>
  </w:style>
  <w:style w:type="character" w:customStyle="1" w:styleId="34">
    <w:name w:val="纯文本 字符"/>
    <w:basedOn w:val="17"/>
    <w:link w:val="6"/>
    <w:qFormat/>
    <w:uiPriority w:val="0"/>
    <w:rPr>
      <w:rFonts w:ascii="宋体" w:hAnsi="Courier New"/>
      <w:kern w:val="2"/>
      <w:sz w:val="21"/>
      <w:szCs w:val="21"/>
    </w:rPr>
  </w:style>
  <w:style w:type="character" w:customStyle="1" w:styleId="35">
    <w:name w:val="批注主题 字符"/>
    <w:basedOn w:val="31"/>
    <w:link w:val="14"/>
    <w:qFormat/>
    <w:uiPriority w:val="0"/>
    <w:rPr>
      <w:b/>
      <w:bCs/>
      <w:kern w:val="2"/>
      <w:sz w:val="21"/>
      <w:szCs w:val="24"/>
    </w:rPr>
  </w:style>
  <w:style w:type="character" w:customStyle="1" w:styleId="36">
    <w:name w:val="性能指标 Char"/>
    <w:link w:val="37"/>
    <w:qFormat/>
    <w:locked/>
    <w:uiPriority w:val="0"/>
    <w:rPr>
      <w:sz w:val="28"/>
    </w:rPr>
  </w:style>
  <w:style w:type="paragraph" w:customStyle="1" w:styleId="37">
    <w:name w:val="性能指标"/>
    <w:basedOn w:val="1"/>
    <w:link w:val="36"/>
    <w:qFormat/>
    <w:uiPriority w:val="0"/>
    <w:pPr>
      <w:widowControl w:val="0"/>
      <w:numPr>
        <w:ilvl w:val="0"/>
        <w:numId w:val="2"/>
      </w:numPr>
      <w:adjustRightInd w:val="0"/>
      <w:snapToGrid w:val="0"/>
      <w:spacing w:line="360" w:lineRule="auto"/>
      <w:ind w:left="113"/>
    </w:pPr>
    <w:rPr>
      <w:sz w:val="28"/>
    </w:rPr>
  </w:style>
  <w:style w:type="paragraph" w:customStyle="1" w:styleId="38">
    <w:name w:val="_Style 12"/>
    <w:basedOn w:val="1"/>
    <w:next w:val="27"/>
    <w:qFormat/>
    <w:uiPriority w:val="34"/>
    <w:pPr>
      <w:widowControl w:val="0"/>
      <w:ind w:firstLine="420" w:firstLineChars="200"/>
      <w:jc w:val="both"/>
    </w:pPr>
    <w:rPr>
      <w:rFonts w:ascii="Calibri" w:hAnsi="Calibr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25"/>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C645C2-6407-4E06-B010-BBB21546838E}">
  <ds:schemaRefs/>
</ds:datastoreItem>
</file>

<file path=docProps/app.xml><?xml version="1.0" encoding="utf-8"?>
<Properties xmlns="http://schemas.openxmlformats.org/officeDocument/2006/extended-properties" xmlns:vt="http://schemas.openxmlformats.org/officeDocument/2006/docPropsVTypes">
  <Template>Normal</Template>
  <Pages>10</Pages>
  <Words>5306</Words>
  <Characters>5583</Characters>
  <Lines>86</Lines>
  <Paragraphs>24</Paragraphs>
  <TotalTime>0</TotalTime>
  <ScaleCrop>false</ScaleCrop>
  <LinksUpToDate>false</LinksUpToDate>
  <CharactersWithSpaces>5627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2025-11-05T03:34:00Z</dcterms:created>
  <dc:creator>CCL</dc:creator>
  <cp:lastModifiedBy>old</cp:lastModifiedBy>
  <dcterms:modified xsi:type="dcterms:W3CDTF">2026-06-14T06:08:28Z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eyJoZGlkIjoiNzZiZjI5NTI2YjhjNDQ1ZDJlN2Y1NjQ2OWZjMWRlOGQiLCJ1c2VySWQiOiIzMzk3NjQ5NzQifQ==</vt:lpwstr>
  </property>
  <property fmtid="{D5CDD505-2E9C-101B-9397-08002B2CF9AE}" pid="4" name="ICV">
    <vt:lpwstr>9530B7FC5FCF4671BF98442167EDE7CB_12</vt:lpwstr>
  </property>
</Properties>
</file>