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AB114">
      <w:pPr>
        <w:spacing w:line="360" w:lineRule="auto"/>
        <w:jc w:val="center"/>
        <w:rPr>
          <w:rFonts w:hint="eastAsia"/>
          <w:b/>
          <w:sz w:val="48"/>
          <w:szCs w:val="48"/>
        </w:rPr>
      </w:pPr>
    </w:p>
    <w:p w14:paraId="4EC33B8E">
      <w:pPr>
        <w:spacing w:line="360" w:lineRule="auto"/>
        <w:jc w:val="center"/>
        <w:rPr>
          <w:rFonts w:hint="eastAsia"/>
          <w:b/>
          <w:sz w:val="48"/>
          <w:szCs w:val="48"/>
        </w:rPr>
      </w:pPr>
    </w:p>
    <w:p w14:paraId="42F5DCC1">
      <w:pPr>
        <w:spacing w:line="360" w:lineRule="auto"/>
        <w:jc w:val="center"/>
        <w:rPr>
          <w:rFonts w:ascii="宋体"/>
          <w:b/>
          <w:color w:val="000000"/>
          <w:sz w:val="48"/>
          <w:szCs w:val="48"/>
        </w:rPr>
      </w:pPr>
      <w:bookmarkStart w:id="10" w:name="_GoBack"/>
      <w:r>
        <w:rPr>
          <w:rFonts w:hint="eastAsia"/>
          <w:b/>
          <w:sz w:val="48"/>
          <w:szCs w:val="48"/>
        </w:rPr>
        <w:t>思念食品有限公司遂平瑾瑜杀菌锅移机</w:t>
      </w:r>
      <w:r>
        <w:rPr>
          <w:rFonts w:hint="eastAsia"/>
          <w:b/>
          <w:sz w:val="48"/>
          <w:szCs w:val="48"/>
          <w:lang w:val="en-US" w:eastAsia="zh-CN"/>
        </w:rPr>
        <w:t>移位</w:t>
      </w:r>
      <w:r>
        <w:rPr>
          <w:rFonts w:hint="eastAsia"/>
          <w:b/>
          <w:sz w:val="48"/>
          <w:szCs w:val="48"/>
        </w:rPr>
        <w:t>招标</w:t>
      </w:r>
    </w:p>
    <w:bookmarkEnd w:id="10"/>
    <w:p w14:paraId="6D22C309">
      <w:pPr>
        <w:jc w:val="center"/>
        <w:rPr>
          <w:rFonts w:ascii="宋体"/>
          <w:sz w:val="72"/>
          <w:szCs w:val="72"/>
        </w:rPr>
      </w:pPr>
      <w:r>
        <w:rPr>
          <w:rFonts w:hint="eastAsia" w:ascii="宋体"/>
          <w:sz w:val="72"/>
          <w:szCs w:val="72"/>
        </w:rPr>
        <w:t>招标文件</w:t>
      </w:r>
    </w:p>
    <w:p w14:paraId="69A111D3">
      <w:pPr>
        <w:jc w:val="center"/>
        <w:rPr>
          <w:rFonts w:ascii="宋体"/>
          <w:sz w:val="72"/>
          <w:szCs w:val="72"/>
        </w:rPr>
      </w:pPr>
    </w:p>
    <w:p w14:paraId="6335B8AC">
      <w:pPr>
        <w:snapToGrid w:val="0"/>
        <w:spacing w:line="360" w:lineRule="auto"/>
        <w:jc w:val="center"/>
        <w:rPr>
          <w:rFonts w:hint="eastAsia" w:ascii="宋体" w:hAnsi="宋体" w:cs="宋体"/>
          <w:b/>
          <w:sz w:val="30"/>
          <w:szCs w:val="30"/>
          <w:u w:val="single"/>
        </w:rPr>
      </w:pPr>
      <w:r>
        <w:rPr>
          <w:rFonts w:hint="eastAsia" w:ascii="宋体" w:hAnsi="宋体" w:cs="宋体"/>
          <w:b/>
          <w:sz w:val="30"/>
          <w:szCs w:val="30"/>
        </w:rPr>
        <w:t>思念招标[2025</w:t>
      </w:r>
      <w:r>
        <w:rPr>
          <w:rFonts w:ascii="宋体" w:hAnsi="宋体" w:cs="宋体"/>
          <w:b/>
          <w:sz w:val="30"/>
          <w:szCs w:val="30"/>
        </w:rPr>
        <w:t>]第</w:t>
      </w:r>
      <w:r>
        <w:rPr>
          <w:rFonts w:hint="eastAsia" w:ascii="宋体" w:hAnsi="宋体" w:cs="宋体"/>
          <w:b/>
          <w:sz w:val="30"/>
          <w:szCs w:val="30"/>
          <w:lang w:val="en-US" w:eastAsia="zh-CN"/>
        </w:rPr>
        <w:t>63</w:t>
      </w:r>
      <w:r>
        <w:rPr>
          <w:rFonts w:ascii="宋体" w:hAnsi="宋体" w:cs="宋体"/>
          <w:b/>
          <w:sz w:val="30"/>
          <w:szCs w:val="30"/>
        </w:rPr>
        <w:t>号</w:t>
      </w:r>
    </w:p>
    <w:p w14:paraId="1EFA8357">
      <w:pPr>
        <w:jc w:val="center"/>
        <w:rPr>
          <w:rFonts w:ascii="宋体"/>
          <w:color w:val="000000"/>
          <w:sz w:val="32"/>
        </w:rPr>
      </w:pPr>
    </w:p>
    <w:p w14:paraId="0B8D66D1">
      <w:pPr>
        <w:rPr>
          <w:rFonts w:ascii="宋体"/>
          <w:color w:val="000000"/>
          <w:sz w:val="32"/>
        </w:rPr>
      </w:pPr>
    </w:p>
    <w:p w14:paraId="4AAE1AF8">
      <w:pPr>
        <w:rPr>
          <w:rFonts w:ascii="宋体"/>
          <w:color w:val="000000"/>
          <w:sz w:val="32"/>
        </w:rPr>
      </w:pPr>
    </w:p>
    <w:p w14:paraId="144D7B08">
      <w:pPr>
        <w:rPr>
          <w:rFonts w:ascii="宋体"/>
          <w:color w:val="000000"/>
          <w:sz w:val="32"/>
        </w:rPr>
      </w:pPr>
    </w:p>
    <w:p w14:paraId="7B759AB3">
      <w:pPr>
        <w:rPr>
          <w:rFonts w:ascii="宋体"/>
          <w:color w:val="000000"/>
          <w:sz w:val="32"/>
        </w:rPr>
      </w:pPr>
    </w:p>
    <w:p w14:paraId="69BCB917">
      <w:pPr>
        <w:rPr>
          <w:rFonts w:ascii="宋体"/>
          <w:color w:val="000000"/>
          <w:sz w:val="36"/>
          <w:szCs w:val="21"/>
        </w:rPr>
      </w:pPr>
    </w:p>
    <w:p w14:paraId="08158F23">
      <w:pPr>
        <w:spacing w:line="360" w:lineRule="auto"/>
        <w:jc w:val="center"/>
        <w:rPr>
          <w:rFonts w:hint="eastAsia" w:ascii="宋体" w:hAnsi="宋体" w:cs="宋体"/>
          <w:b/>
          <w:sz w:val="32"/>
          <w:szCs w:val="32"/>
          <w:u w:val="single"/>
        </w:rPr>
      </w:pPr>
      <w:r>
        <w:rPr>
          <w:rFonts w:hint="eastAsia" w:ascii="宋体" w:hAnsi="宋体" w:cs="宋体"/>
          <w:b/>
          <w:color w:val="000000"/>
          <w:sz w:val="32"/>
          <w:szCs w:val="32"/>
        </w:rPr>
        <w:t>项目名称:</w:t>
      </w:r>
      <w:r>
        <w:rPr>
          <w:rFonts w:hint="eastAsia"/>
        </w:rPr>
        <w:t xml:space="preserve"> </w:t>
      </w:r>
      <w:r>
        <w:rPr>
          <w:rFonts w:hint="eastAsia" w:ascii="宋体" w:hAnsi="宋体" w:cs="宋体"/>
          <w:b/>
          <w:color w:val="000000"/>
          <w:sz w:val="32"/>
          <w:szCs w:val="32"/>
          <w:u w:val="single"/>
        </w:rPr>
        <w:t>思念食品有限公司遂平瑾瑜杀菌锅移机</w:t>
      </w:r>
      <w:r>
        <w:rPr>
          <w:rFonts w:hint="eastAsia" w:ascii="宋体" w:hAnsi="宋体" w:cs="宋体"/>
          <w:b/>
          <w:color w:val="000000"/>
          <w:sz w:val="32"/>
          <w:szCs w:val="32"/>
          <w:u w:val="single"/>
          <w:lang w:val="en-US" w:eastAsia="zh-CN"/>
        </w:rPr>
        <w:t>移位</w:t>
      </w:r>
      <w:r>
        <w:rPr>
          <w:rFonts w:hint="eastAsia" w:ascii="宋体" w:hAnsi="宋体" w:cs="宋体"/>
          <w:b/>
          <w:color w:val="000000"/>
          <w:sz w:val="32"/>
          <w:szCs w:val="32"/>
          <w:u w:val="single"/>
        </w:rPr>
        <w:t>招标</w:t>
      </w:r>
    </w:p>
    <w:p w14:paraId="3E20D4C8">
      <w:pPr>
        <w:snapToGrid w:val="0"/>
        <w:spacing w:line="360" w:lineRule="auto"/>
        <w:jc w:val="center"/>
        <w:rPr>
          <w:rFonts w:ascii="宋体"/>
          <w:b/>
          <w:sz w:val="30"/>
          <w:szCs w:val="30"/>
        </w:rPr>
      </w:pPr>
      <w:r>
        <w:rPr>
          <w:rFonts w:hint="eastAsia" w:ascii="宋体" w:hAnsi="宋体" w:cs="宋体"/>
          <w:b/>
          <w:color w:val="000000"/>
          <w:sz w:val="32"/>
          <w:szCs w:val="32"/>
        </w:rPr>
        <w:t>招 标 人:</w:t>
      </w:r>
      <w:r>
        <w:rPr>
          <w:rFonts w:hint="eastAsia" w:ascii="宋体" w:hAnsi="宋体" w:cs="宋体"/>
          <w:sz w:val="32"/>
          <w:szCs w:val="32"/>
        </w:rPr>
        <w:t xml:space="preserve"> </w:t>
      </w:r>
      <w:r>
        <w:rPr>
          <w:rFonts w:hint="eastAsia" w:ascii="宋体" w:hAnsi="宋体" w:cs="宋体"/>
          <w:b/>
          <w:bCs/>
          <w:sz w:val="32"/>
          <w:szCs w:val="32"/>
          <w:u w:val="single"/>
        </w:rPr>
        <w:t>思念食品有限公司</w:t>
      </w:r>
    </w:p>
    <w:p w14:paraId="0C8FD6CC">
      <w:pPr>
        <w:snapToGrid w:val="0"/>
        <w:spacing w:line="360" w:lineRule="auto"/>
        <w:jc w:val="center"/>
        <w:rPr>
          <w:rFonts w:ascii="宋体"/>
          <w:b/>
          <w:sz w:val="30"/>
          <w:szCs w:val="30"/>
        </w:rPr>
      </w:pPr>
    </w:p>
    <w:p w14:paraId="0530174C">
      <w:pPr>
        <w:snapToGrid w:val="0"/>
        <w:spacing w:line="360" w:lineRule="auto"/>
        <w:jc w:val="center"/>
        <w:rPr>
          <w:rFonts w:ascii="宋体"/>
          <w:b/>
          <w:sz w:val="30"/>
          <w:szCs w:val="30"/>
        </w:rPr>
      </w:pPr>
    </w:p>
    <w:p w14:paraId="20FA6127">
      <w:pPr>
        <w:snapToGrid w:val="0"/>
        <w:spacing w:line="360" w:lineRule="auto"/>
        <w:jc w:val="center"/>
        <w:rPr>
          <w:rFonts w:ascii="宋体"/>
          <w:b/>
          <w:sz w:val="30"/>
          <w:szCs w:val="30"/>
        </w:rPr>
      </w:pPr>
    </w:p>
    <w:p w14:paraId="406DE4E4">
      <w:pPr>
        <w:snapToGrid w:val="0"/>
        <w:spacing w:line="360" w:lineRule="auto"/>
        <w:jc w:val="center"/>
        <w:rPr>
          <w:rFonts w:ascii="宋体"/>
          <w:b/>
          <w:sz w:val="30"/>
          <w:szCs w:val="30"/>
        </w:rPr>
        <w:sectPr>
          <w:headerReference r:id="rId5" w:type="first"/>
          <w:headerReference r:id="rId3" w:type="default"/>
          <w:footerReference r:id="rId6" w:type="default"/>
          <w:headerReference r:id="rId4" w:type="even"/>
          <w:pgSz w:w="11907" w:h="16840"/>
          <w:pgMar w:top="1480" w:right="1134" w:bottom="1276" w:left="1134" w:header="851" w:footer="907" w:gutter="0"/>
          <w:pgNumType w:start="1"/>
          <w:cols w:space="720" w:num="1"/>
          <w:docGrid w:linePitch="286" w:charSpace="0"/>
        </w:sectPr>
      </w:pPr>
    </w:p>
    <w:p w14:paraId="52F2E2DB">
      <w:pPr>
        <w:snapToGrid w:val="0"/>
        <w:spacing w:line="360" w:lineRule="auto"/>
        <w:jc w:val="center"/>
        <w:rPr>
          <w:rFonts w:ascii="宋体"/>
          <w:b/>
          <w:sz w:val="30"/>
          <w:szCs w:val="30"/>
        </w:rPr>
      </w:pPr>
    </w:p>
    <w:p w14:paraId="4AF5D834">
      <w:pPr>
        <w:snapToGrid w:val="0"/>
        <w:spacing w:line="360" w:lineRule="auto"/>
        <w:jc w:val="center"/>
        <w:rPr>
          <w:rFonts w:ascii="宋体"/>
          <w:b/>
          <w:sz w:val="30"/>
          <w:szCs w:val="30"/>
        </w:rPr>
      </w:pPr>
      <w:r>
        <w:rPr>
          <w:rFonts w:hint="eastAsia" w:ascii="宋体"/>
          <w:b/>
          <w:sz w:val="30"/>
          <w:szCs w:val="30"/>
        </w:rPr>
        <w:t>目  录</w:t>
      </w:r>
    </w:p>
    <w:p w14:paraId="54742B44">
      <w:pPr>
        <w:pStyle w:val="5"/>
        <w:tabs>
          <w:tab w:val="right" w:leader="dot" w:pos="9639"/>
          <w:tab w:val="clear" w:pos="9628"/>
        </w:tabs>
        <w:ind w:firstLine="0" w:firstLineChars="0"/>
        <w:jc w:val="both"/>
        <w:rPr>
          <w:rFonts w:ascii="宋体"/>
          <w:sz w:val="24"/>
          <w:szCs w:val="24"/>
        </w:rPr>
      </w:pPr>
    </w:p>
    <w:p w14:paraId="07ACAA85">
      <w:pPr>
        <w:pStyle w:val="5"/>
        <w:tabs>
          <w:tab w:val="right" w:leader="dot" w:pos="9639"/>
          <w:tab w:val="clear" w:pos="9628"/>
        </w:tabs>
        <w:ind w:firstLine="324"/>
      </w:pPr>
      <w:r>
        <w:rPr>
          <w:rFonts w:ascii="宋体"/>
          <w:sz w:val="24"/>
          <w:szCs w:val="24"/>
        </w:rPr>
        <w:fldChar w:fldCharType="begin"/>
      </w:r>
      <w:r>
        <w:rPr>
          <w:rFonts w:ascii="宋体"/>
          <w:sz w:val="24"/>
          <w:szCs w:val="24"/>
        </w:rPr>
        <w:instrText xml:space="preserve"> </w:instrText>
      </w:r>
      <w:r>
        <w:rPr>
          <w:rFonts w:hint="eastAsia" w:ascii="宋体"/>
          <w:sz w:val="24"/>
          <w:szCs w:val="24"/>
        </w:rPr>
        <w:instrText xml:space="preserve">TOC \o "1-3" \h \z \u</w:instrText>
      </w:r>
      <w:r>
        <w:rPr>
          <w:rFonts w:ascii="宋体"/>
          <w:sz w:val="24"/>
          <w:szCs w:val="24"/>
        </w:rPr>
        <w:instrText xml:space="preserve"> </w:instrText>
      </w:r>
      <w:r>
        <w:rPr>
          <w:rFonts w:ascii="宋体"/>
          <w:sz w:val="24"/>
          <w:szCs w:val="24"/>
        </w:rPr>
        <w:fldChar w:fldCharType="separate"/>
      </w:r>
      <w:r>
        <w:fldChar w:fldCharType="begin"/>
      </w:r>
      <w:r>
        <w:instrText xml:space="preserve"> HYPERLINK \l "_Toc25090" </w:instrText>
      </w:r>
      <w:r>
        <w:fldChar w:fldCharType="separate"/>
      </w:r>
      <w:r>
        <w:rPr>
          <w:rFonts w:hint="eastAsia" w:ascii="宋体"/>
          <w:bCs/>
          <w:szCs w:val="24"/>
        </w:rPr>
        <w:t>第一章  招标公告</w:t>
      </w:r>
      <w:r>
        <w:tab/>
      </w:r>
      <w:r>
        <w:fldChar w:fldCharType="begin"/>
      </w:r>
      <w:r>
        <w:instrText xml:space="preserve"> PAGEREF _Toc25090 \h </w:instrText>
      </w:r>
      <w:r>
        <w:fldChar w:fldCharType="separate"/>
      </w:r>
      <w:r>
        <w:t>1</w:t>
      </w:r>
      <w:r>
        <w:fldChar w:fldCharType="end"/>
      </w:r>
      <w:r>
        <w:fldChar w:fldCharType="end"/>
      </w:r>
    </w:p>
    <w:p w14:paraId="0616697E">
      <w:pPr>
        <w:pStyle w:val="5"/>
        <w:tabs>
          <w:tab w:val="right" w:leader="dot" w:pos="9639"/>
          <w:tab w:val="clear" w:pos="9628"/>
        </w:tabs>
        <w:ind w:firstLine="270"/>
      </w:pPr>
      <w:r>
        <w:fldChar w:fldCharType="begin"/>
      </w:r>
      <w:r>
        <w:instrText xml:space="preserve"> HYPERLINK \l "_Toc25446" </w:instrText>
      </w:r>
      <w:r>
        <w:fldChar w:fldCharType="separate"/>
      </w:r>
      <w:r>
        <w:rPr>
          <w:rFonts w:hint="eastAsia" w:ascii="宋体"/>
          <w:bCs/>
          <w:szCs w:val="24"/>
        </w:rPr>
        <w:t>第二章  投标单位须知</w:t>
      </w:r>
      <w:r>
        <w:tab/>
      </w:r>
      <w:r>
        <w:fldChar w:fldCharType="begin"/>
      </w:r>
      <w:r>
        <w:instrText xml:space="preserve"> PAGEREF _Toc25446 \h </w:instrText>
      </w:r>
      <w:r>
        <w:fldChar w:fldCharType="separate"/>
      </w:r>
      <w:r>
        <w:t>2</w:t>
      </w:r>
      <w:r>
        <w:fldChar w:fldCharType="end"/>
      </w:r>
      <w:r>
        <w:fldChar w:fldCharType="end"/>
      </w:r>
    </w:p>
    <w:p w14:paraId="24D9AA97">
      <w:pPr>
        <w:pStyle w:val="5"/>
        <w:tabs>
          <w:tab w:val="right" w:leader="dot" w:pos="9639"/>
          <w:tab w:val="clear" w:pos="9628"/>
        </w:tabs>
        <w:ind w:firstLine="270"/>
      </w:pPr>
      <w:r>
        <w:fldChar w:fldCharType="begin"/>
      </w:r>
      <w:r>
        <w:instrText xml:space="preserve"> HYPERLINK \l "_Toc1453" </w:instrText>
      </w:r>
      <w:r>
        <w:fldChar w:fldCharType="separate"/>
      </w:r>
      <w:r>
        <w:rPr>
          <w:rFonts w:hint="eastAsia" w:ascii="宋体"/>
          <w:bCs/>
          <w:szCs w:val="24"/>
        </w:rPr>
        <w:t>第三章  投标文件格式</w:t>
      </w:r>
      <w:r>
        <w:tab/>
      </w:r>
      <w:r>
        <w:fldChar w:fldCharType="begin"/>
      </w:r>
      <w:r>
        <w:instrText xml:space="preserve"> PAGEREF _Toc1453 \h </w:instrText>
      </w:r>
      <w:r>
        <w:fldChar w:fldCharType="separate"/>
      </w:r>
      <w:r>
        <w:t>4</w:t>
      </w:r>
      <w:r>
        <w:fldChar w:fldCharType="end"/>
      </w:r>
      <w:r>
        <w:fldChar w:fldCharType="end"/>
      </w:r>
    </w:p>
    <w:p w14:paraId="4D7235F3">
      <w:pPr>
        <w:pStyle w:val="6"/>
        <w:tabs>
          <w:tab w:val="right" w:leader="dot" w:pos="9639"/>
          <w:tab w:val="clear" w:pos="9628"/>
        </w:tabs>
        <w:ind w:firstLine="540"/>
      </w:pPr>
      <w:r>
        <w:fldChar w:fldCharType="begin"/>
      </w:r>
      <w:r>
        <w:instrText xml:space="preserve"> HYPERLINK \l "_Toc24884" </w:instrText>
      </w:r>
      <w:r>
        <w:fldChar w:fldCharType="separate"/>
      </w:r>
      <w:r>
        <w:rPr>
          <w:rFonts w:hint="eastAsia" w:ascii="宋体"/>
          <w:szCs w:val="28"/>
        </w:rPr>
        <w:t>一、投标函</w:t>
      </w:r>
      <w:r>
        <w:tab/>
      </w:r>
      <w:r>
        <w:fldChar w:fldCharType="begin"/>
      </w:r>
      <w:r>
        <w:instrText xml:space="preserve"> PAGEREF _Toc24884 \h </w:instrText>
      </w:r>
      <w:r>
        <w:fldChar w:fldCharType="separate"/>
      </w:r>
      <w:r>
        <w:t>7</w:t>
      </w:r>
      <w:r>
        <w:fldChar w:fldCharType="end"/>
      </w:r>
      <w:r>
        <w:fldChar w:fldCharType="end"/>
      </w:r>
    </w:p>
    <w:p w14:paraId="318C95FA">
      <w:pPr>
        <w:pStyle w:val="6"/>
        <w:tabs>
          <w:tab w:val="right" w:leader="dot" w:pos="9639"/>
          <w:tab w:val="clear" w:pos="9628"/>
        </w:tabs>
        <w:ind w:firstLine="540"/>
      </w:pPr>
      <w:r>
        <w:fldChar w:fldCharType="begin"/>
      </w:r>
      <w:r>
        <w:instrText xml:space="preserve"> HYPERLINK \l "_Toc9853" </w:instrText>
      </w:r>
      <w:r>
        <w:fldChar w:fldCharType="separate"/>
      </w:r>
      <w:r>
        <w:rPr>
          <w:rFonts w:hint="eastAsia" w:ascii="宋体"/>
          <w:szCs w:val="28"/>
        </w:rPr>
        <w:t>二、法定代表人身份证明书</w:t>
      </w:r>
      <w:r>
        <w:tab/>
      </w:r>
      <w:r>
        <w:fldChar w:fldCharType="begin"/>
      </w:r>
      <w:r>
        <w:instrText xml:space="preserve"> PAGEREF _Toc9853 \h </w:instrText>
      </w:r>
      <w:r>
        <w:fldChar w:fldCharType="separate"/>
      </w:r>
      <w:r>
        <w:t>8</w:t>
      </w:r>
      <w:r>
        <w:fldChar w:fldCharType="end"/>
      </w:r>
      <w:r>
        <w:fldChar w:fldCharType="end"/>
      </w:r>
    </w:p>
    <w:p w14:paraId="79626478">
      <w:pPr>
        <w:pStyle w:val="6"/>
        <w:tabs>
          <w:tab w:val="right" w:leader="dot" w:pos="9639"/>
          <w:tab w:val="clear" w:pos="9628"/>
        </w:tabs>
        <w:ind w:firstLine="540"/>
      </w:pPr>
      <w:r>
        <w:fldChar w:fldCharType="begin"/>
      </w:r>
      <w:r>
        <w:instrText xml:space="preserve"> HYPERLINK \l "_Toc12854" </w:instrText>
      </w:r>
      <w:r>
        <w:fldChar w:fldCharType="separate"/>
      </w:r>
      <w:r>
        <w:rPr>
          <w:rFonts w:hint="eastAsia" w:ascii="宋体"/>
          <w:szCs w:val="28"/>
        </w:rPr>
        <w:t>三、投标授权委托书</w:t>
      </w:r>
      <w:r>
        <w:tab/>
      </w:r>
      <w:r>
        <w:fldChar w:fldCharType="begin"/>
      </w:r>
      <w:r>
        <w:instrText xml:space="preserve"> PAGEREF _Toc12854 \h </w:instrText>
      </w:r>
      <w:r>
        <w:fldChar w:fldCharType="separate"/>
      </w:r>
      <w:r>
        <w:t>9</w:t>
      </w:r>
      <w:r>
        <w:fldChar w:fldCharType="end"/>
      </w:r>
      <w:r>
        <w:fldChar w:fldCharType="end"/>
      </w:r>
    </w:p>
    <w:p w14:paraId="4EB548D4">
      <w:pPr>
        <w:pStyle w:val="6"/>
        <w:tabs>
          <w:tab w:val="right" w:leader="dot" w:pos="9639"/>
          <w:tab w:val="clear" w:pos="9628"/>
        </w:tabs>
        <w:ind w:firstLine="540"/>
      </w:pPr>
      <w:r>
        <w:fldChar w:fldCharType="begin"/>
      </w:r>
      <w:r>
        <w:instrText xml:space="preserve"> HYPERLINK \l "_Toc4803" </w:instrText>
      </w:r>
      <w:r>
        <w:fldChar w:fldCharType="separate"/>
      </w:r>
      <w:r>
        <w:rPr>
          <w:rFonts w:hint="eastAsia" w:ascii="宋体"/>
          <w:szCs w:val="28"/>
        </w:rPr>
        <w:t>四、资质证明文件</w:t>
      </w:r>
      <w:r>
        <w:tab/>
      </w:r>
      <w:r>
        <w:fldChar w:fldCharType="begin"/>
      </w:r>
      <w:r>
        <w:instrText xml:space="preserve"> PAGEREF _Toc4803 \h </w:instrText>
      </w:r>
      <w:r>
        <w:fldChar w:fldCharType="separate"/>
      </w:r>
      <w:r>
        <w:t>10</w:t>
      </w:r>
      <w:r>
        <w:fldChar w:fldCharType="end"/>
      </w:r>
      <w:r>
        <w:fldChar w:fldCharType="end"/>
      </w:r>
    </w:p>
    <w:p w14:paraId="1BB7C2F6">
      <w:pPr>
        <w:pStyle w:val="6"/>
        <w:tabs>
          <w:tab w:val="right" w:leader="dot" w:pos="9639"/>
          <w:tab w:val="clear" w:pos="9628"/>
        </w:tabs>
        <w:ind w:firstLine="540"/>
      </w:pPr>
      <w:r>
        <w:fldChar w:fldCharType="begin"/>
      </w:r>
      <w:r>
        <w:instrText xml:space="preserve"> HYPERLINK \l "_Toc5785" </w:instrText>
      </w:r>
      <w:r>
        <w:fldChar w:fldCharType="separate"/>
      </w:r>
      <w:r>
        <w:rPr>
          <w:rFonts w:hint="eastAsia" w:ascii="宋体"/>
          <w:szCs w:val="28"/>
        </w:rPr>
        <w:t>五、投标承诺</w:t>
      </w:r>
      <w:r>
        <w:tab/>
      </w:r>
      <w:r>
        <w:fldChar w:fldCharType="begin"/>
      </w:r>
      <w:r>
        <w:instrText xml:space="preserve"> PAGEREF _Toc5785 \h </w:instrText>
      </w:r>
      <w:r>
        <w:fldChar w:fldCharType="separate"/>
      </w:r>
      <w:r>
        <w:t>10</w:t>
      </w:r>
      <w:r>
        <w:fldChar w:fldCharType="end"/>
      </w:r>
      <w:r>
        <w:fldChar w:fldCharType="end"/>
      </w:r>
    </w:p>
    <w:p w14:paraId="73BF17F4">
      <w:pPr>
        <w:pStyle w:val="6"/>
        <w:tabs>
          <w:tab w:val="right" w:leader="dot" w:pos="9639"/>
          <w:tab w:val="clear" w:pos="9628"/>
        </w:tabs>
        <w:ind w:firstLine="540"/>
      </w:pPr>
      <w:r>
        <w:fldChar w:fldCharType="begin"/>
      </w:r>
      <w:r>
        <w:instrText xml:space="preserve"> HYPERLINK \l "_Toc7341" </w:instrText>
      </w:r>
      <w:r>
        <w:fldChar w:fldCharType="separate"/>
      </w:r>
      <w:r>
        <w:rPr>
          <w:rFonts w:hint="eastAsia" w:ascii="宋体"/>
          <w:szCs w:val="28"/>
        </w:rPr>
        <w:t>六、投标单位基本情况调查表</w:t>
      </w:r>
      <w:r>
        <w:tab/>
      </w:r>
      <w:r>
        <w:fldChar w:fldCharType="begin"/>
      </w:r>
      <w:r>
        <w:instrText xml:space="preserve"> PAGEREF _Toc7341 \h </w:instrText>
      </w:r>
      <w:r>
        <w:fldChar w:fldCharType="separate"/>
      </w:r>
      <w:r>
        <w:t>12</w:t>
      </w:r>
      <w:r>
        <w:fldChar w:fldCharType="end"/>
      </w:r>
      <w:r>
        <w:fldChar w:fldCharType="end"/>
      </w:r>
    </w:p>
    <w:p w14:paraId="0506DB83">
      <w:pPr>
        <w:pStyle w:val="6"/>
        <w:tabs>
          <w:tab w:val="right" w:leader="dot" w:pos="9639"/>
          <w:tab w:val="clear" w:pos="9628"/>
        </w:tabs>
        <w:ind w:firstLine="540"/>
      </w:pPr>
      <w:r>
        <w:fldChar w:fldCharType="begin"/>
      </w:r>
      <w:r>
        <w:instrText xml:space="preserve"> HYPERLINK \l "_Toc22847" </w:instrText>
      </w:r>
      <w:r>
        <w:fldChar w:fldCharType="separate"/>
      </w:r>
      <w:r>
        <w:rPr>
          <w:rFonts w:hint="eastAsia" w:ascii="宋体"/>
          <w:szCs w:val="28"/>
        </w:rPr>
        <w:t>七、技术偏离答疑表</w:t>
      </w:r>
      <w:r>
        <w:tab/>
      </w:r>
      <w:r>
        <w:fldChar w:fldCharType="begin"/>
      </w:r>
      <w:r>
        <w:instrText xml:space="preserve"> PAGEREF _Toc22847 \h </w:instrText>
      </w:r>
      <w:r>
        <w:fldChar w:fldCharType="separate"/>
      </w:r>
      <w:r>
        <w:t>13</w:t>
      </w:r>
      <w:r>
        <w:fldChar w:fldCharType="end"/>
      </w:r>
      <w:r>
        <w:fldChar w:fldCharType="end"/>
      </w:r>
    </w:p>
    <w:p w14:paraId="731FEB68">
      <w:pPr>
        <w:pStyle w:val="6"/>
        <w:tabs>
          <w:tab w:val="right" w:leader="dot" w:pos="9639"/>
          <w:tab w:val="clear" w:pos="9628"/>
        </w:tabs>
        <w:ind w:firstLine="540"/>
      </w:pPr>
      <w:r>
        <w:fldChar w:fldCharType="begin"/>
      </w:r>
      <w:r>
        <w:instrText xml:space="preserve"> HYPERLINK \l "_Toc21511" </w:instrText>
      </w:r>
      <w:r>
        <w:fldChar w:fldCharType="separate"/>
      </w:r>
      <w:r>
        <w:rPr>
          <w:rFonts w:hint="eastAsia" w:ascii="宋体"/>
          <w:szCs w:val="28"/>
        </w:rPr>
        <w:t>八、近三年业绩</w:t>
      </w:r>
      <w:r>
        <w:tab/>
      </w:r>
      <w:r>
        <w:fldChar w:fldCharType="begin"/>
      </w:r>
      <w:r>
        <w:instrText xml:space="preserve"> PAGEREF _Toc21511 \h </w:instrText>
      </w:r>
      <w:r>
        <w:fldChar w:fldCharType="separate"/>
      </w:r>
      <w:r>
        <w:t>14</w:t>
      </w:r>
      <w:r>
        <w:fldChar w:fldCharType="end"/>
      </w:r>
      <w:r>
        <w:fldChar w:fldCharType="end"/>
      </w:r>
    </w:p>
    <w:p w14:paraId="2A96E52D">
      <w:pPr>
        <w:pStyle w:val="6"/>
        <w:tabs>
          <w:tab w:val="right" w:leader="dot" w:pos="9639"/>
          <w:tab w:val="clear" w:pos="9628"/>
        </w:tabs>
        <w:ind w:firstLine="540"/>
      </w:pPr>
      <w:r>
        <w:fldChar w:fldCharType="begin"/>
      </w:r>
      <w:r>
        <w:instrText xml:space="preserve"> HYPERLINK \l "_Toc16941" </w:instrText>
      </w:r>
      <w:r>
        <w:fldChar w:fldCharType="separate"/>
      </w:r>
      <w:r>
        <w:rPr>
          <w:rFonts w:hint="eastAsia" w:ascii="宋体"/>
          <w:szCs w:val="28"/>
        </w:rPr>
        <w:t>九、履约情况说明</w:t>
      </w:r>
      <w:r>
        <w:tab/>
      </w:r>
      <w:r>
        <w:fldChar w:fldCharType="begin"/>
      </w:r>
      <w:r>
        <w:instrText xml:space="preserve"> PAGEREF _Toc16941 \h </w:instrText>
      </w:r>
      <w:r>
        <w:fldChar w:fldCharType="separate"/>
      </w:r>
      <w:r>
        <w:t>14</w:t>
      </w:r>
      <w:r>
        <w:fldChar w:fldCharType="end"/>
      </w:r>
      <w:r>
        <w:fldChar w:fldCharType="end"/>
      </w:r>
    </w:p>
    <w:p w14:paraId="79E2B481">
      <w:pPr>
        <w:pStyle w:val="6"/>
        <w:tabs>
          <w:tab w:val="right" w:leader="dot" w:pos="9639"/>
          <w:tab w:val="clear" w:pos="9628"/>
        </w:tabs>
        <w:ind w:firstLine="540"/>
      </w:pPr>
      <w:r>
        <w:fldChar w:fldCharType="begin"/>
      </w:r>
      <w:r>
        <w:instrText xml:space="preserve"> HYPERLINK \l "_Toc19568" </w:instrText>
      </w:r>
      <w:r>
        <w:fldChar w:fldCharType="separate"/>
      </w:r>
      <w:r>
        <w:rPr>
          <w:rFonts w:hint="eastAsia" w:ascii="宋体"/>
          <w:szCs w:val="28"/>
        </w:rPr>
        <w:t>十、技术服务方案</w:t>
      </w:r>
      <w:r>
        <w:tab/>
      </w:r>
      <w:r>
        <w:fldChar w:fldCharType="begin"/>
      </w:r>
      <w:r>
        <w:instrText xml:space="preserve"> PAGEREF _Toc19568 \h </w:instrText>
      </w:r>
      <w:r>
        <w:fldChar w:fldCharType="separate"/>
      </w:r>
      <w:r>
        <w:t>15</w:t>
      </w:r>
      <w:r>
        <w:fldChar w:fldCharType="end"/>
      </w:r>
      <w:r>
        <w:fldChar w:fldCharType="end"/>
      </w:r>
    </w:p>
    <w:p w14:paraId="0933ABCF">
      <w:pPr>
        <w:pStyle w:val="6"/>
        <w:tabs>
          <w:tab w:val="right" w:leader="dot" w:pos="9639"/>
          <w:tab w:val="clear" w:pos="9628"/>
        </w:tabs>
        <w:ind w:firstLine="540"/>
      </w:pPr>
      <w:r>
        <w:fldChar w:fldCharType="begin"/>
      </w:r>
      <w:r>
        <w:instrText xml:space="preserve"> HYPERLINK \l "_Toc7928" </w:instrText>
      </w:r>
      <w:r>
        <w:fldChar w:fldCharType="separate"/>
      </w:r>
      <w:r>
        <w:rPr>
          <w:rFonts w:hint="eastAsia" w:ascii="宋体"/>
          <w:szCs w:val="28"/>
        </w:rPr>
        <w:t>十一、投标保证金缴纳信息表</w:t>
      </w:r>
      <w:r>
        <w:tab/>
      </w:r>
      <w:r>
        <w:fldChar w:fldCharType="begin"/>
      </w:r>
      <w:r>
        <w:instrText xml:space="preserve"> PAGEREF _Toc7928 \h </w:instrText>
      </w:r>
      <w:r>
        <w:fldChar w:fldCharType="separate"/>
      </w:r>
      <w:r>
        <w:t>15</w:t>
      </w:r>
      <w:r>
        <w:fldChar w:fldCharType="end"/>
      </w:r>
      <w:r>
        <w:fldChar w:fldCharType="end"/>
      </w:r>
    </w:p>
    <w:p w14:paraId="1E52C9E4">
      <w:pPr>
        <w:pStyle w:val="6"/>
        <w:tabs>
          <w:tab w:val="right" w:leader="dot" w:pos="9639"/>
          <w:tab w:val="clear" w:pos="9628"/>
        </w:tabs>
        <w:ind w:firstLine="540"/>
      </w:pPr>
      <w:r>
        <w:fldChar w:fldCharType="begin"/>
      </w:r>
      <w:r>
        <w:instrText xml:space="preserve"> HYPERLINK \l "_Toc17694" </w:instrText>
      </w:r>
      <w:r>
        <w:fldChar w:fldCharType="separate"/>
      </w:r>
      <w:r>
        <w:rPr>
          <w:rFonts w:hint="eastAsia" w:ascii="宋体"/>
          <w:szCs w:val="28"/>
        </w:rPr>
        <w:t>十二、报价单</w:t>
      </w:r>
      <w:r>
        <w:tab/>
      </w:r>
      <w:r>
        <w:fldChar w:fldCharType="begin"/>
      </w:r>
      <w:r>
        <w:instrText xml:space="preserve"> PAGEREF _Toc17694 \h </w:instrText>
      </w:r>
      <w:r>
        <w:fldChar w:fldCharType="separate"/>
      </w:r>
      <w:r>
        <w:t>18</w:t>
      </w:r>
      <w:r>
        <w:fldChar w:fldCharType="end"/>
      </w:r>
      <w:r>
        <w:fldChar w:fldCharType="end"/>
      </w:r>
    </w:p>
    <w:p w14:paraId="6917F150">
      <w:pPr>
        <w:pStyle w:val="6"/>
        <w:ind w:right="840" w:firstLine="540"/>
        <w:jc w:val="both"/>
        <w:rPr>
          <w:rFonts w:ascii="宋体"/>
          <w:kern w:val="2"/>
          <w:sz w:val="21"/>
          <w:szCs w:val="22"/>
        </w:rPr>
      </w:pPr>
      <w:r>
        <w:rPr>
          <w:rFonts w:ascii="宋体"/>
          <w:szCs w:val="24"/>
        </w:rPr>
        <w:fldChar w:fldCharType="end"/>
      </w:r>
      <w:r>
        <w:rPr>
          <w:rFonts w:ascii="宋体"/>
          <w:kern w:val="2"/>
          <w:sz w:val="21"/>
          <w:szCs w:val="22"/>
        </w:rPr>
        <w:t xml:space="preserve"> </w:t>
      </w:r>
    </w:p>
    <w:p w14:paraId="569180D3">
      <w:pPr>
        <w:snapToGrid w:val="0"/>
        <w:spacing w:line="360" w:lineRule="auto"/>
        <w:rPr>
          <w:rFonts w:ascii="宋体"/>
          <w:sz w:val="21"/>
          <w:szCs w:val="21"/>
        </w:rPr>
      </w:pPr>
    </w:p>
    <w:p w14:paraId="2707F4AC">
      <w:pPr>
        <w:snapToGrid w:val="0"/>
        <w:spacing w:line="360" w:lineRule="auto"/>
        <w:ind w:left="1103" w:leftChars="525"/>
        <w:rPr>
          <w:rFonts w:ascii="宋体"/>
          <w:sz w:val="21"/>
          <w:szCs w:val="21"/>
        </w:rPr>
      </w:pPr>
    </w:p>
    <w:p w14:paraId="7742320A">
      <w:pPr>
        <w:snapToGrid w:val="0"/>
        <w:spacing w:line="360" w:lineRule="auto"/>
        <w:ind w:left="1103" w:leftChars="525"/>
        <w:rPr>
          <w:rFonts w:ascii="宋体"/>
          <w:sz w:val="21"/>
          <w:szCs w:val="21"/>
        </w:rPr>
      </w:pPr>
    </w:p>
    <w:p w14:paraId="41869561">
      <w:pPr>
        <w:snapToGrid w:val="0"/>
        <w:spacing w:line="360" w:lineRule="auto"/>
        <w:ind w:left="1103" w:leftChars="525"/>
        <w:rPr>
          <w:rFonts w:ascii="宋体"/>
          <w:sz w:val="21"/>
          <w:szCs w:val="21"/>
        </w:rPr>
      </w:pPr>
    </w:p>
    <w:p w14:paraId="631D8BDE">
      <w:pPr>
        <w:snapToGrid w:val="0"/>
        <w:spacing w:line="360" w:lineRule="auto"/>
        <w:ind w:left="1103" w:leftChars="525"/>
        <w:rPr>
          <w:rFonts w:ascii="宋体"/>
          <w:sz w:val="21"/>
          <w:szCs w:val="21"/>
        </w:rPr>
      </w:pPr>
    </w:p>
    <w:p w14:paraId="7F8BB77C">
      <w:pPr>
        <w:snapToGrid w:val="0"/>
        <w:spacing w:line="360" w:lineRule="auto"/>
        <w:ind w:left="1103" w:leftChars="525"/>
        <w:rPr>
          <w:rFonts w:ascii="宋体"/>
          <w:sz w:val="21"/>
          <w:szCs w:val="21"/>
        </w:rPr>
      </w:pPr>
    </w:p>
    <w:p w14:paraId="2E0B0935">
      <w:pPr>
        <w:rPr>
          <w:rFonts w:ascii="宋体"/>
        </w:rPr>
      </w:pPr>
      <w:bookmarkStart w:id="0" w:name="_Toc301277396"/>
      <w:bookmarkStart w:id="1" w:name="OLE_LINK14"/>
      <w:bookmarkStart w:id="2" w:name="OLE_LINK3"/>
      <w:bookmarkStart w:id="3" w:name="OLE_LINK8"/>
      <w:bookmarkStart w:id="4" w:name="OLE_LINK13"/>
    </w:p>
    <w:bookmarkEnd w:id="0"/>
    <w:p w14:paraId="786D0526">
      <w:pPr>
        <w:pStyle w:val="2"/>
        <w:numPr>
          <w:ilvl w:val="0"/>
          <w:numId w:val="0"/>
        </w:numPr>
        <w:spacing w:before="120" w:beforeLines="50" w:line="360" w:lineRule="auto"/>
        <w:rPr>
          <w:rFonts w:ascii="宋体" w:eastAsia="宋体"/>
          <w:b/>
          <w:bCs/>
          <w:sz w:val="24"/>
          <w:szCs w:val="24"/>
        </w:rPr>
        <w:sectPr>
          <w:footerReference r:id="rId7" w:type="default"/>
          <w:pgSz w:w="11907" w:h="16840"/>
          <w:pgMar w:top="1480" w:right="1134" w:bottom="1276" w:left="1134" w:header="851" w:footer="907" w:gutter="0"/>
          <w:pgNumType w:start="1"/>
          <w:cols w:space="720" w:num="1"/>
          <w:docGrid w:linePitch="286" w:charSpace="0"/>
        </w:sectPr>
      </w:pPr>
      <w:bookmarkStart w:id="5" w:name="_Toc301277397"/>
      <w:bookmarkStart w:id="6" w:name="_Toc364407825"/>
    </w:p>
    <w:bookmarkEnd w:id="1"/>
    <w:bookmarkEnd w:id="2"/>
    <w:bookmarkEnd w:id="3"/>
    <w:bookmarkEnd w:id="4"/>
    <w:bookmarkEnd w:id="5"/>
    <w:bookmarkEnd w:id="6"/>
    <w:p w14:paraId="096B8D47">
      <w:pPr>
        <w:jc w:val="center"/>
        <w:rPr>
          <w:rFonts w:hint="eastAsia" w:ascii="宋体" w:hAnsi="宋体" w:cs="宋体"/>
          <w:b/>
          <w:bCs/>
          <w:sz w:val="21"/>
          <w:szCs w:val="21"/>
        </w:rPr>
      </w:pPr>
      <w:bookmarkStart w:id="7" w:name="_Toc25090"/>
    </w:p>
    <w:p w14:paraId="7E1783AD">
      <w:pPr>
        <w:jc w:val="center"/>
        <w:rPr>
          <w:rFonts w:hint="eastAsia" w:ascii="宋体" w:hAnsi="宋体" w:cs="宋体"/>
          <w:b/>
          <w:bCs/>
          <w:sz w:val="24"/>
          <w:szCs w:val="24"/>
        </w:rPr>
      </w:pPr>
      <w:r>
        <w:rPr>
          <w:rFonts w:hint="eastAsia" w:ascii="宋体" w:hAnsi="宋体" w:cs="宋体"/>
          <w:b/>
          <w:bCs/>
          <w:sz w:val="24"/>
          <w:szCs w:val="24"/>
        </w:rPr>
        <w:t>投标人须知前附表</w:t>
      </w:r>
    </w:p>
    <w:p w14:paraId="67238E77">
      <w:pPr>
        <w:rPr>
          <w:rFonts w:hint="eastAsia" w:ascii="宋体" w:hAnsi="宋体" w:cs="宋体"/>
          <w:sz w:val="21"/>
          <w:szCs w:val="21"/>
        </w:rPr>
      </w:pPr>
    </w:p>
    <w:tbl>
      <w:tblPr>
        <w:tblStyle w:val="7"/>
        <w:tblW w:w="97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8676"/>
      </w:tblGrid>
      <w:tr w14:paraId="32BC5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vAlign w:val="center"/>
          </w:tcPr>
          <w:p w14:paraId="5A1D4691">
            <w:pPr>
              <w:jc w:val="center"/>
              <w:rPr>
                <w:rFonts w:hint="eastAsia" w:ascii="宋体" w:hAnsi="宋体" w:cs="宋体"/>
                <w:b/>
                <w:bCs/>
                <w:kern w:val="2"/>
                <w:sz w:val="21"/>
                <w:szCs w:val="21"/>
              </w:rPr>
            </w:pPr>
            <w:r>
              <w:rPr>
                <w:rFonts w:hint="eastAsia" w:ascii="宋体" w:hAnsi="宋体" w:cs="宋体"/>
                <w:b/>
                <w:bCs/>
                <w:sz w:val="21"/>
                <w:szCs w:val="21"/>
              </w:rPr>
              <w:t>序号</w:t>
            </w:r>
          </w:p>
        </w:tc>
        <w:tc>
          <w:tcPr>
            <w:tcW w:w="8676" w:type="dxa"/>
            <w:vAlign w:val="center"/>
          </w:tcPr>
          <w:p w14:paraId="302912A0">
            <w:pPr>
              <w:jc w:val="center"/>
              <w:rPr>
                <w:rFonts w:hint="eastAsia" w:ascii="宋体" w:hAnsi="宋体" w:cs="宋体"/>
                <w:b/>
                <w:bCs/>
                <w:kern w:val="2"/>
                <w:sz w:val="21"/>
                <w:szCs w:val="21"/>
              </w:rPr>
            </w:pPr>
            <w:r>
              <w:rPr>
                <w:rFonts w:hint="eastAsia" w:ascii="宋体" w:hAnsi="宋体" w:cs="宋体"/>
                <w:b/>
                <w:bCs/>
                <w:sz w:val="21"/>
                <w:szCs w:val="21"/>
              </w:rPr>
              <w:t>内容</w:t>
            </w:r>
          </w:p>
        </w:tc>
      </w:tr>
      <w:tr w14:paraId="75675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vAlign w:val="center"/>
          </w:tcPr>
          <w:p w14:paraId="7E81E901">
            <w:pPr>
              <w:jc w:val="center"/>
              <w:rPr>
                <w:rFonts w:hint="eastAsia" w:ascii="宋体" w:hAnsi="宋体" w:cs="宋体"/>
                <w:kern w:val="2"/>
                <w:sz w:val="21"/>
                <w:szCs w:val="21"/>
              </w:rPr>
            </w:pPr>
            <w:r>
              <w:rPr>
                <w:rFonts w:hint="eastAsia" w:ascii="宋体" w:hAnsi="宋体" w:cs="宋体"/>
                <w:sz w:val="21"/>
                <w:szCs w:val="21"/>
              </w:rPr>
              <w:t>1</w:t>
            </w:r>
          </w:p>
        </w:tc>
        <w:tc>
          <w:tcPr>
            <w:tcW w:w="8676" w:type="dxa"/>
            <w:vAlign w:val="center"/>
          </w:tcPr>
          <w:p w14:paraId="58D4C3C6">
            <w:pPr>
              <w:rPr>
                <w:rFonts w:hint="eastAsia" w:ascii="宋体" w:hAnsi="宋体" w:cs="宋体"/>
                <w:kern w:val="2"/>
                <w:sz w:val="21"/>
                <w:szCs w:val="21"/>
              </w:rPr>
            </w:pPr>
            <w:r>
              <w:rPr>
                <w:rFonts w:hint="eastAsia" w:ascii="宋体" w:hAnsi="宋体" w:cs="宋体"/>
                <w:sz w:val="21"/>
                <w:szCs w:val="21"/>
              </w:rPr>
              <w:t>项目名称：思念食品有限公司遂平瑾瑜杀菌锅移机</w:t>
            </w:r>
            <w:r>
              <w:rPr>
                <w:rFonts w:hint="eastAsia" w:ascii="宋体" w:hAnsi="宋体" w:cs="宋体"/>
                <w:sz w:val="21"/>
                <w:szCs w:val="21"/>
                <w:lang w:val="en-US" w:eastAsia="zh-CN"/>
              </w:rPr>
              <w:t>移位</w:t>
            </w:r>
            <w:r>
              <w:rPr>
                <w:rFonts w:hint="eastAsia" w:ascii="宋体" w:hAnsi="宋体" w:cs="宋体"/>
                <w:sz w:val="21"/>
                <w:szCs w:val="21"/>
              </w:rPr>
              <w:t>招标</w:t>
            </w:r>
          </w:p>
        </w:tc>
      </w:tr>
      <w:tr w14:paraId="68906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vAlign w:val="center"/>
          </w:tcPr>
          <w:p w14:paraId="18C949F7">
            <w:pPr>
              <w:jc w:val="center"/>
              <w:rPr>
                <w:rFonts w:hint="eastAsia" w:ascii="宋体" w:hAnsi="宋体" w:cs="宋体"/>
                <w:sz w:val="21"/>
                <w:szCs w:val="21"/>
              </w:rPr>
            </w:pPr>
            <w:r>
              <w:rPr>
                <w:rFonts w:hint="eastAsia" w:ascii="宋体" w:hAnsi="宋体" w:cs="宋体"/>
                <w:sz w:val="21"/>
                <w:szCs w:val="21"/>
              </w:rPr>
              <w:t>2</w:t>
            </w:r>
          </w:p>
        </w:tc>
        <w:tc>
          <w:tcPr>
            <w:tcW w:w="8676" w:type="dxa"/>
            <w:vAlign w:val="center"/>
          </w:tcPr>
          <w:p w14:paraId="7D275262">
            <w:pPr>
              <w:rPr>
                <w:rFonts w:hint="eastAsia" w:ascii="宋体" w:hAnsi="宋体" w:cs="宋体"/>
                <w:sz w:val="21"/>
                <w:szCs w:val="21"/>
              </w:rPr>
            </w:pPr>
            <w:r>
              <w:rPr>
                <w:rFonts w:hint="eastAsia" w:ascii="宋体" w:hAnsi="宋体" w:cs="宋体"/>
                <w:sz w:val="21"/>
                <w:szCs w:val="21"/>
              </w:rPr>
              <w:t>招标文件编号：思念招标[2025]第</w:t>
            </w:r>
            <w:r>
              <w:rPr>
                <w:rFonts w:hint="eastAsia" w:ascii="宋体" w:hAnsi="宋体" w:cs="宋体"/>
                <w:sz w:val="21"/>
                <w:szCs w:val="21"/>
                <w:lang w:val="en-US" w:eastAsia="zh-CN"/>
              </w:rPr>
              <w:t>63</w:t>
            </w:r>
            <w:r>
              <w:rPr>
                <w:rFonts w:hint="eastAsia" w:ascii="宋体" w:hAnsi="宋体" w:cs="宋体"/>
                <w:sz w:val="21"/>
                <w:szCs w:val="21"/>
              </w:rPr>
              <w:t>号</w:t>
            </w:r>
          </w:p>
        </w:tc>
      </w:tr>
      <w:tr w14:paraId="363BA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exact"/>
        </w:trPr>
        <w:tc>
          <w:tcPr>
            <w:tcW w:w="1083" w:type="dxa"/>
            <w:vAlign w:val="center"/>
          </w:tcPr>
          <w:p w14:paraId="070B6347">
            <w:pPr>
              <w:jc w:val="center"/>
              <w:rPr>
                <w:rFonts w:hint="eastAsia" w:ascii="宋体" w:hAnsi="宋体" w:cs="宋体"/>
                <w:sz w:val="21"/>
                <w:szCs w:val="21"/>
              </w:rPr>
            </w:pPr>
            <w:r>
              <w:rPr>
                <w:rFonts w:hint="eastAsia" w:ascii="宋体" w:hAnsi="宋体" w:cs="宋体"/>
                <w:sz w:val="21"/>
                <w:szCs w:val="21"/>
              </w:rPr>
              <w:t>3</w:t>
            </w:r>
          </w:p>
        </w:tc>
        <w:tc>
          <w:tcPr>
            <w:tcW w:w="8676" w:type="dxa"/>
            <w:vAlign w:val="center"/>
          </w:tcPr>
          <w:p w14:paraId="5AEC4C65">
            <w:pPr>
              <w:rPr>
                <w:rFonts w:hint="eastAsia" w:ascii="宋体" w:hAnsi="宋体" w:cs="宋体"/>
                <w:sz w:val="21"/>
                <w:szCs w:val="21"/>
              </w:rPr>
            </w:pPr>
            <w:r>
              <w:rPr>
                <w:rFonts w:hint="eastAsia" w:ascii="宋体" w:hAnsi="宋体" w:cs="宋体"/>
                <w:sz w:val="21"/>
                <w:szCs w:val="21"/>
              </w:rPr>
              <w:t>招标方：思念食品有限公司（最终合同签订主体：思念食品有限公司或其关联公司，包括但不限于：思念食品科技(海南)有限公司、天津思念销售有限公司、思念食品(河南)有限公司、四川思念食品有限公司、思念(江苏)食品经营有限公司等）</w:t>
            </w:r>
          </w:p>
        </w:tc>
      </w:tr>
      <w:tr w14:paraId="2C28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vAlign w:val="center"/>
          </w:tcPr>
          <w:p w14:paraId="28C19AC9">
            <w:pPr>
              <w:jc w:val="center"/>
              <w:rPr>
                <w:rFonts w:hint="eastAsia" w:ascii="宋体" w:hAnsi="宋体" w:cs="宋体"/>
                <w:sz w:val="21"/>
                <w:szCs w:val="21"/>
              </w:rPr>
            </w:pPr>
            <w:r>
              <w:rPr>
                <w:rFonts w:hint="eastAsia" w:ascii="宋体" w:hAnsi="宋体" w:cs="宋体"/>
                <w:sz w:val="21"/>
                <w:szCs w:val="21"/>
              </w:rPr>
              <w:t>4</w:t>
            </w:r>
          </w:p>
        </w:tc>
        <w:tc>
          <w:tcPr>
            <w:tcW w:w="8676" w:type="dxa"/>
            <w:vAlign w:val="center"/>
          </w:tcPr>
          <w:p w14:paraId="265BD5E1">
            <w:pPr>
              <w:rPr>
                <w:rFonts w:hint="eastAsia" w:ascii="宋体" w:hAnsi="宋体" w:cs="宋体"/>
                <w:sz w:val="21"/>
                <w:szCs w:val="21"/>
              </w:rPr>
            </w:pPr>
            <w:r>
              <w:rPr>
                <w:rFonts w:hint="eastAsia" w:ascii="宋体" w:hAnsi="宋体" w:cs="宋体"/>
                <w:sz w:val="21"/>
                <w:szCs w:val="21"/>
              </w:rPr>
              <w:t>投标文件须以中文编写</w:t>
            </w:r>
          </w:p>
        </w:tc>
      </w:tr>
      <w:tr w14:paraId="1672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vAlign w:val="center"/>
          </w:tcPr>
          <w:p w14:paraId="39848E39">
            <w:pPr>
              <w:jc w:val="center"/>
              <w:rPr>
                <w:rFonts w:hint="eastAsia" w:ascii="宋体" w:hAnsi="宋体" w:cs="宋体"/>
                <w:sz w:val="21"/>
                <w:szCs w:val="21"/>
              </w:rPr>
            </w:pPr>
            <w:r>
              <w:rPr>
                <w:rFonts w:hint="eastAsia" w:ascii="宋体" w:hAnsi="宋体" w:cs="宋体"/>
                <w:sz w:val="21"/>
                <w:szCs w:val="21"/>
              </w:rPr>
              <w:t>5</w:t>
            </w:r>
          </w:p>
        </w:tc>
        <w:tc>
          <w:tcPr>
            <w:tcW w:w="8676" w:type="dxa"/>
            <w:vAlign w:val="center"/>
          </w:tcPr>
          <w:p w14:paraId="2D50F920">
            <w:pPr>
              <w:rPr>
                <w:rFonts w:hint="eastAsia" w:ascii="宋体" w:hAnsi="宋体" w:cs="宋体"/>
                <w:sz w:val="21"/>
                <w:szCs w:val="21"/>
              </w:rPr>
            </w:pPr>
            <w:r>
              <w:rPr>
                <w:rFonts w:hint="eastAsia" w:ascii="宋体" w:hAnsi="宋体" w:cs="宋体"/>
                <w:sz w:val="21"/>
                <w:szCs w:val="21"/>
              </w:rPr>
              <w:t>标书领取：招标方对投标方报名审核通过后，发送电子版标书至投标方邮箱/微信</w:t>
            </w:r>
          </w:p>
        </w:tc>
      </w:tr>
      <w:tr w14:paraId="6DCF3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vAlign w:val="center"/>
          </w:tcPr>
          <w:p w14:paraId="2E9CC4E0">
            <w:pPr>
              <w:jc w:val="center"/>
              <w:rPr>
                <w:rFonts w:hint="eastAsia" w:ascii="宋体" w:hAnsi="宋体" w:cs="宋体"/>
                <w:sz w:val="21"/>
                <w:szCs w:val="21"/>
              </w:rPr>
            </w:pPr>
            <w:r>
              <w:rPr>
                <w:rFonts w:hint="eastAsia" w:ascii="宋体" w:hAnsi="宋体" w:cs="宋体"/>
                <w:sz w:val="21"/>
                <w:szCs w:val="21"/>
              </w:rPr>
              <w:t>6</w:t>
            </w:r>
          </w:p>
        </w:tc>
        <w:tc>
          <w:tcPr>
            <w:tcW w:w="8676" w:type="dxa"/>
            <w:vAlign w:val="center"/>
          </w:tcPr>
          <w:p w14:paraId="4F398C7B">
            <w:pPr>
              <w:rPr>
                <w:rFonts w:hint="eastAsia" w:ascii="宋体" w:hAnsi="宋体" w:cs="宋体"/>
                <w:color w:val="000000"/>
                <w:sz w:val="21"/>
                <w:szCs w:val="21"/>
              </w:rPr>
            </w:pPr>
            <w:r>
              <w:rPr>
                <w:rFonts w:hint="eastAsia" w:ascii="宋体" w:hAnsi="宋体" w:cs="宋体"/>
                <w:color w:val="000000"/>
                <w:sz w:val="21"/>
                <w:szCs w:val="21"/>
              </w:rPr>
              <w:t>报名截止日期： 202</w:t>
            </w:r>
            <w:r>
              <w:rPr>
                <w:rFonts w:hint="eastAsia" w:ascii="宋体" w:hAnsi="宋体" w:cs="宋体"/>
                <w:color w:val="000000"/>
                <w:sz w:val="21"/>
                <w:szCs w:val="21"/>
                <w:lang w:val="en-US" w:eastAsia="zh-CN"/>
              </w:rPr>
              <w:t>5</w:t>
            </w:r>
            <w:r>
              <w:rPr>
                <w:rFonts w:hint="eastAsia" w:ascii="宋体" w:hAnsi="宋体" w:cs="宋体"/>
                <w:color w:val="000000"/>
                <w:sz w:val="21"/>
                <w:szCs w:val="21"/>
              </w:rPr>
              <w:t>年1</w:t>
            </w:r>
            <w:r>
              <w:rPr>
                <w:rFonts w:hint="eastAsia" w:ascii="宋体" w:hAnsi="宋体" w:cs="宋体"/>
                <w:color w:val="000000"/>
                <w:sz w:val="21"/>
                <w:szCs w:val="21"/>
                <w:lang w:val="en-US" w:eastAsia="zh-CN"/>
              </w:rPr>
              <w:t>2</w:t>
            </w:r>
            <w:r>
              <w:rPr>
                <w:rFonts w:hint="eastAsia" w:ascii="宋体" w:hAnsi="宋体" w:cs="宋体"/>
                <w:color w:val="000000"/>
                <w:sz w:val="21"/>
                <w:szCs w:val="21"/>
              </w:rPr>
              <w:t>月</w:t>
            </w:r>
            <w:r>
              <w:rPr>
                <w:rFonts w:hint="eastAsia" w:ascii="宋体" w:hAnsi="宋体" w:cs="宋体"/>
                <w:color w:val="000000"/>
                <w:sz w:val="21"/>
                <w:szCs w:val="21"/>
                <w:lang w:val="en-US" w:eastAsia="zh-CN"/>
              </w:rPr>
              <w:t>25</w:t>
            </w:r>
            <w:r>
              <w:rPr>
                <w:rFonts w:hint="eastAsia" w:ascii="宋体" w:hAnsi="宋体" w:cs="宋体"/>
                <w:color w:val="000000"/>
                <w:sz w:val="21"/>
                <w:szCs w:val="21"/>
              </w:rPr>
              <w:t>日17:00</w:t>
            </w:r>
          </w:p>
        </w:tc>
      </w:tr>
      <w:tr w14:paraId="2EBEF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vAlign w:val="center"/>
          </w:tcPr>
          <w:p w14:paraId="40E3C164">
            <w:pPr>
              <w:jc w:val="center"/>
              <w:rPr>
                <w:rFonts w:hint="eastAsia" w:ascii="宋体" w:hAnsi="宋体" w:cs="宋体"/>
                <w:sz w:val="21"/>
                <w:szCs w:val="21"/>
              </w:rPr>
            </w:pPr>
            <w:r>
              <w:rPr>
                <w:rFonts w:hint="eastAsia" w:ascii="宋体" w:hAnsi="宋体" w:cs="宋体"/>
                <w:sz w:val="21"/>
                <w:szCs w:val="21"/>
              </w:rPr>
              <w:t>7</w:t>
            </w:r>
          </w:p>
        </w:tc>
        <w:tc>
          <w:tcPr>
            <w:tcW w:w="8676" w:type="dxa"/>
            <w:vAlign w:val="center"/>
          </w:tcPr>
          <w:p w14:paraId="7C7EFD0E">
            <w:pPr>
              <w:rPr>
                <w:rFonts w:hint="eastAsia" w:ascii="宋体" w:hAnsi="宋体" w:cs="宋体"/>
                <w:color w:val="000000"/>
                <w:sz w:val="21"/>
                <w:szCs w:val="21"/>
              </w:rPr>
            </w:pPr>
            <w:r>
              <w:rPr>
                <w:rFonts w:hint="eastAsia" w:ascii="宋体" w:hAnsi="宋体" w:cs="宋体"/>
                <w:color w:val="000000"/>
                <w:sz w:val="21"/>
                <w:szCs w:val="21"/>
              </w:rPr>
              <w:t>开标日期： 202</w:t>
            </w:r>
            <w:r>
              <w:rPr>
                <w:rFonts w:hint="eastAsia" w:ascii="宋体" w:hAnsi="宋体" w:cs="宋体"/>
                <w:color w:val="000000"/>
                <w:sz w:val="21"/>
                <w:szCs w:val="21"/>
                <w:lang w:val="en-US" w:eastAsia="zh-CN"/>
              </w:rPr>
              <w:t>6</w:t>
            </w:r>
            <w:r>
              <w:rPr>
                <w:rFonts w:hint="eastAsia" w:ascii="宋体" w:hAnsi="宋体" w:cs="宋体"/>
                <w:color w:val="000000"/>
                <w:sz w:val="21"/>
                <w:szCs w:val="21"/>
              </w:rPr>
              <w:t>年</w:t>
            </w:r>
            <w:r>
              <w:rPr>
                <w:rFonts w:hint="eastAsia" w:ascii="宋体" w:hAnsi="宋体" w:cs="宋体"/>
                <w:color w:val="000000"/>
                <w:sz w:val="21"/>
                <w:szCs w:val="21"/>
                <w:lang w:val="en-US" w:eastAsia="zh-CN"/>
              </w:rPr>
              <w:t>12</w:t>
            </w:r>
            <w:r>
              <w:rPr>
                <w:rFonts w:hint="eastAsia" w:ascii="宋体" w:hAnsi="宋体" w:cs="宋体"/>
                <w:color w:val="000000"/>
                <w:sz w:val="21"/>
                <w:szCs w:val="21"/>
              </w:rPr>
              <w:t>月</w:t>
            </w:r>
            <w:r>
              <w:rPr>
                <w:rFonts w:hint="eastAsia" w:ascii="宋体" w:hAnsi="宋体" w:cs="宋体"/>
                <w:color w:val="000000"/>
                <w:sz w:val="21"/>
                <w:szCs w:val="21"/>
                <w:lang w:val="en-US" w:eastAsia="zh-CN"/>
              </w:rPr>
              <w:t>26</w:t>
            </w:r>
            <w:r>
              <w:rPr>
                <w:rFonts w:hint="eastAsia" w:ascii="宋体" w:hAnsi="宋体" w:cs="宋体"/>
                <w:color w:val="000000"/>
                <w:sz w:val="21"/>
                <w:szCs w:val="21"/>
              </w:rPr>
              <w:t>日上午9:30</w:t>
            </w:r>
          </w:p>
        </w:tc>
      </w:tr>
      <w:tr w14:paraId="222B0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vAlign w:val="center"/>
          </w:tcPr>
          <w:p w14:paraId="6F6BD25A">
            <w:pPr>
              <w:jc w:val="center"/>
              <w:rPr>
                <w:rFonts w:hint="eastAsia" w:ascii="宋体" w:hAnsi="宋体" w:cs="宋体"/>
                <w:sz w:val="21"/>
                <w:szCs w:val="21"/>
              </w:rPr>
            </w:pPr>
            <w:r>
              <w:rPr>
                <w:rFonts w:hint="eastAsia" w:ascii="宋体" w:hAnsi="宋体" w:cs="宋体"/>
                <w:sz w:val="21"/>
                <w:szCs w:val="21"/>
              </w:rPr>
              <w:t>8</w:t>
            </w:r>
          </w:p>
        </w:tc>
        <w:tc>
          <w:tcPr>
            <w:tcW w:w="8676" w:type="dxa"/>
            <w:vAlign w:val="center"/>
          </w:tcPr>
          <w:p w14:paraId="1671ADF3">
            <w:pPr>
              <w:rPr>
                <w:rFonts w:hint="eastAsia" w:ascii="宋体" w:hAnsi="宋体" w:cs="宋体"/>
                <w:kern w:val="2"/>
                <w:sz w:val="21"/>
                <w:szCs w:val="21"/>
              </w:rPr>
            </w:pPr>
            <w:r>
              <w:rPr>
                <w:rFonts w:hint="eastAsia" w:ascii="宋体" w:hAnsi="宋体" w:cs="宋体"/>
                <w:sz w:val="21"/>
                <w:szCs w:val="21"/>
              </w:rPr>
              <w:t>开标地点：郑州市惠济区英才街13号</w:t>
            </w:r>
          </w:p>
        </w:tc>
      </w:tr>
      <w:tr w14:paraId="015E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vAlign w:val="center"/>
          </w:tcPr>
          <w:p w14:paraId="6709879C">
            <w:pPr>
              <w:jc w:val="center"/>
              <w:rPr>
                <w:rFonts w:hint="eastAsia" w:ascii="宋体" w:hAnsi="宋体" w:cs="宋体"/>
                <w:sz w:val="21"/>
                <w:szCs w:val="21"/>
              </w:rPr>
            </w:pPr>
            <w:r>
              <w:rPr>
                <w:rFonts w:hint="eastAsia" w:ascii="宋体" w:hAnsi="宋体" w:cs="宋体"/>
                <w:sz w:val="21"/>
                <w:szCs w:val="21"/>
              </w:rPr>
              <w:t>9</w:t>
            </w:r>
          </w:p>
        </w:tc>
        <w:tc>
          <w:tcPr>
            <w:tcW w:w="8676" w:type="dxa"/>
            <w:vAlign w:val="center"/>
          </w:tcPr>
          <w:p w14:paraId="73A44E59">
            <w:pPr>
              <w:rPr>
                <w:rFonts w:hint="eastAsia" w:ascii="宋体" w:hAnsi="宋体" w:cs="宋体"/>
                <w:kern w:val="2"/>
                <w:sz w:val="21"/>
                <w:szCs w:val="21"/>
              </w:rPr>
            </w:pPr>
            <w:r>
              <w:rPr>
                <w:rFonts w:hint="eastAsia" w:ascii="宋体" w:hAnsi="宋体" w:cs="宋体"/>
                <w:sz w:val="21"/>
                <w:szCs w:val="21"/>
              </w:rPr>
              <w:t>投标结果公布方式：以邮箱/电话/微信形式通知</w:t>
            </w:r>
          </w:p>
        </w:tc>
      </w:tr>
      <w:tr w14:paraId="696C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trPr>
        <w:tc>
          <w:tcPr>
            <w:tcW w:w="1083" w:type="dxa"/>
            <w:vAlign w:val="center"/>
          </w:tcPr>
          <w:p w14:paraId="2952A6D4">
            <w:pPr>
              <w:jc w:val="center"/>
              <w:rPr>
                <w:rFonts w:hint="eastAsia" w:ascii="宋体" w:hAnsi="宋体" w:cs="宋体"/>
                <w:sz w:val="21"/>
                <w:szCs w:val="21"/>
              </w:rPr>
            </w:pPr>
            <w:r>
              <w:rPr>
                <w:rFonts w:hint="eastAsia" w:ascii="宋体" w:hAnsi="宋体" w:cs="宋体"/>
                <w:sz w:val="21"/>
                <w:szCs w:val="21"/>
              </w:rPr>
              <w:t>10</w:t>
            </w:r>
          </w:p>
        </w:tc>
        <w:tc>
          <w:tcPr>
            <w:tcW w:w="8676" w:type="dxa"/>
            <w:vAlign w:val="center"/>
          </w:tcPr>
          <w:p w14:paraId="62D6E716">
            <w:pPr>
              <w:rPr>
                <w:rFonts w:hint="eastAsia" w:ascii="宋体" w:hAnsi="宋体" w:cs="宋体"/>
                <w:sz w:val="21"/>
                <w:szCs w:val="21"/>
              </w:rPr>
            </w:pPr>
            <w:r>
              <w:rPr>
                <w:rFonts w:hint="eastAsia" w:ascii="宋体" w:hAnsi="宋体" w:cs="宋体"/>
                <w:sz w:val="21"/>
                <w:szCs w:val="21"/>
              </w:rPr>
              <w:t>标书资料：密封袋装纸质版现场递交</w:t>
            </w:r>
          </w:p>
        </w:tc>
      </w:tr>
      <w:tr w14:paraId="4EFC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vAlign w:val="center"/>
          </w:tcPr>
          <w:p w14:paraId="7262966D">
            <w:pPr>
              <w:jc w:val="center"/>
              <w:rPr>
                <w:rFonts w:hint="eastAsia" w:ascii="宋体" w:hAnsi="宋体" w:cs="宋体"/>
                <w:sz w:val="21"/>
                <w:szCs w:val="21"/>
              </w:rPr>
            </w:pPr>
            <w:r>
              <w:rPr>
                <w:rFonts w:hint="eastAsia" w:ascii="宋体" w:hAnsi="宋体" w:cs="宋体"/>
                <w:sz w:val="21"/>
                <w:szCs w:val="21"/>
              </w:rPr>
              <w:t>11</w:t>
            </w:r>
          </w:p>
        </w:tc>
        <w:tc>
          <w:tcPr>
            <w:tcW w:w="8676" w:type="dxa"/>
            <w:vAlign w:val="center"/>
          </w:tcPr>
          <w:p w14:paraId="4B31C26B">
            <w:pPr>
              <w:rPr>
                <w:rFonts w:hint="eastAsia" w:ascii="宋体" w:hAnsi="宋体" w:cs="宋体"/>
                <w:sz w:val="21"/>
                <w:szCs w:val="21"/>
              </w:rPr>
            </w:pPr>
            <w:r>
              <w:rPr>
                <w:rFonts w:hint="eastAsia" w:ascii="宋体" w:hAnsi="宋体" w:cs="宋体"/>
                <w:sz w:val="21"/>
                <w:szCs w:val="21"/>
              </w:rPr>
              <w:t>报价单单独密封，如混淆当场作废</w:t>
            </w:r>
          </w:p>
        </w:tc>
      </w:tr>
      <w:tr w14:paraId="29E2D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vAlign w:val="center"/>
          </w:tcPr>
          <w:p w14:paraId="40781B11">
            <w:pPr>
              <w:jc w:val="center"/>
              <w:rPr>
                <w:rFonts w:hint="eastAsia" w:ascii="宋体" w:hAnsi="宋体" w:cs="宋体"/>
                <w:sz w:val="21"/>
                <w:szCs w:val="21"/>
              </w:rPr>
            </w:pPr>
            <w:r>
              <w:rPr>
                <w:rFonts w:hint="eastAsia" w:ascii="宋体" w:hAnsi="宋体" w:cs="宋体"/>
                <w:sz w:val="21"/>
                <w:szCs w:val="21"/>
              </w:rPr>
              <w:t>12</w:t>
            </w:r>
          </w:p>
        </w:tc>
        <w:tc>
          <w:tcPr>
            <w:tcW w:w="8676" w:type="dxa"/>
            <w:vAlign w:val="center"/>
          </w:tcPr>
          <w:p w14:paraId="5AB34174">
            <w:pPr>
              <w:rPr>
                <w:rFonts w:hint="eastAsia" w:ascii="宋体" w:hAnsi="宋体" w:cs="宋体"/>
                <w:sz w:val="21"/>
                <w:szCs w:val="21"/>
              </w:rPr>
            </w:pPr>
            <w:r>
              <w:rPr>
                <w:rFonts w:hint="eastAsia" w:ascii="宋体" w:hAnsi="宋体" w:cs="宋体"/>
                <w:sz w:val="21"/>
                <w:szCs w:val="21"/>
              </w:rPr>
              <w:t>投标币种：人民币</w:t>
            </w:r>
          </w:p>
        </w:tc>
      </w:tr>
      <w:tr w14:paraId="15C2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trPr>
        <w:tc>
          <w:tcPr>
            <w:tcW w:w="1083" w:type="dxa"/>
            <w:vAlign w:val="center"/>
          </w:tcPr>
          <w:p w14:paraId="7E51CADC">
            <w:pPr>
              <w:jc w:val="center"/>
              <w:rPr>
                <w:rFonts w:hint="eastAsia" w:ascii="宋体" w:hAnsi="宋体" w:cs="宋体"/>
                <w:sz w:val="21"/>
                <w:szCs w:val="21"/>
              </w:rPr>
            </w:pPr>
            <w:r>
              <w:rPr>
                <w:rFonts w:hint="eastAsia" w:ascii="宋体" w:hAnsi="宋体" w:cs="宋体"/>
                <w:sz w:val="21"/>
                <w:szCs w:val="21"/>
              </w:rPr>
              <w:t>13</w:t>
            </w:r>
          </w:p>
        </w:tc>
        <w:tc>
          <w:tcPr>
            <w:tcW w:w="8676" w:type="dxa"/>
            <w:vAlign w:val="center"/>
          </w:tcPr>
          <w:p w14:paraId="22E06657">
            <w:pPr>
              <w:rPr>
                <w:rFonts w:hint="eastAsia" w:ascii="宋体" w:hAnsi="宋体" w:cs="宋体"/>
                <w:sz w:val="21"/>
                <w:szCs w:val="21"/>
              </w:rPr>
            </w:pPr>
            <w:r>
              <w:rPr>
                <w:rFonts w:hint="eastAsia" w:ascii="宋体" w:hAnsi="宋体" w:cs="宋体"/>
                <w:sz w:val="21"/>
                <w:szCs w:val="21"/>
              </w:rPr>
              <w:t>投标保证金：人民币</w:t>
            </w:r>
            <w:r>
              <w:rPr>
                <w:rFonts w:hint="eastAsia" w:ascii="宋体" w:hAnsi="宋体" w:cs="宋体"/>
                <w:sz w:val="21"/>
                <w:szCs w:val="21"/>
                <w:lang w:val="en-US" w:eastAsia="zh-CN"/>
              </w:rPr>
              <w:t>20000</w:t>
            </w:r>
            <w:r>
              <w:rPr>
                <w:rFonts w:hint="eastAsia" w:ascii="宋体" w:hAnsi="宋体" w:cs="宋体"/>
                <w:sz w:val="21"/>
                <w:szCs w:val="21"/>
              </w:rPr>
              <w:t>元整（</w:t>
            </w:r>
            <w:r>
              <w:rPr>
                <w:rFonts w:hint="eastAsia" w:ascii="宋体" w:hAnsi="宋体" w:cs="宋体"/>
                <w:sz w:val="21"/>
                <w:szCs w:val="21"/>
                <w:lang w:val="en-US" w:eastAsia="zh-CN"/>
              </w:rPr>
              <w:t>贰</w:t>
            </w:r>
            <w:r>
              <w:rPr>
                <w:rFonts w:hint="eastAsia" w:ascii="宋体" w:hAnsi="宋体" w:cs="宋体"/>
                <w:sz w:val="21"/>
                <w:szCs w:val="21"/>
              </w:rPr>
              <w:t>万元整）</w:t>
            </w:r>
          </w:p>
        </w:tc>
      </w:tr>
      <w:tr w14:paraId="71600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exact"/>
        </w:trPr>
        <w:tc>
          <w:tcPr>
            <w:tcW w:w="1083" w:type="dxa"/>
            <w:vAlign w:val="center"/>
          </w:tcPr>
          <w:p w14:paraId="6F401BEA">
            <w:pPr>
              <w:jc w:val="center"/>
              <w:rPr>
                <w:rFonts w:hint="eastAsia" w:ascii="宋体" w:hAnsi="宋体" w:cs="宋体"/>
                <w:sz w:val="21"/>
                <w:szCs w:val="21"/>
              </w:rPr>
            </w:pPr>
            <w:r>
              <w:rPr>
                <w:rFonts w:hint="eastAsia" w:ascii="宋体" w:hAnsi="宋体" w:cs="宋体"/>
                <w:sz w:val="21"/>
                <w:szCs w:val="21"/>
              </w:rPr>
              <w:t>14</w:t>
            </w:r>
          </w:p>
        </w:tc>
        <w:tc>
          <w:tcPr>
            <w:tcW w:w="8676" w:type="dxa"/>
            <w:vAlign w:val="center"/>
          </w:tcPr>
          <w:p w14:paraId="097BE310">
            <w:pPr>
              <w:snapToGrid w:val="0"/>
              <w:spacing w:line="360" w:lineRule="auto"/>
              <w:rPr>
                <w:rFonts w:hint="eastAsia" w:ascii="宋体" w:hAnsi="宋体" w:cs="宋体"/>
                <w:sz w:val="21"/>
                <w:szCs w:val="21"/>
              </w:rPr>
            </w:pPr>
            <w:r>
              <w:rPr>
                <w:rFonts w:hint="eastAsia" w:ascii="宋体" w:hAnsi="宋体" w:cs="宋体"/>
                <w:sz w:val="21"/>
                <w:szCs w:val="21"/>
              </w:rPr>
              <w:t>标书资料包含：</w:t>
            </w:r>
          </w:p>
          <w:p w14:paraId="70C28472">
            <w:pPr>
              <w:snapToGrid w:val="0"/>
              <w:spacing w:line="360" w:lineRule="auto"/>
              <w:rPr>
                <w:rFonts w:hint="eastAsia" w:ascii="宋体" w:hAnsi="宋体" w:cs="宋体"/>
                <w:sz w:val="21"/>
                <w:szCs w:val="21"/>
              </w:rPr>
            </w:pPr>
            <w:r>
              <w:rPr>
                <w:rFonts w:hint="eastAsia" w:ascii="宋体" w:hAnsi="宋体" w:cs="宋体"/>
                <w:sz w:val="21"/>
                <w:szCs w:val="21"/>
              </w:rPr>
              <w:t>投标函、法定代表人身份证明书、投标文件签署授权委托书、投标保证金缴纳证明、报价函、营业执照等资质证明，其他详见第二章《投标文件格式》</w:t>
            </w:r>
          </w:p>
        </w:tc>
      </w:tr>
    </w:tbl>
    <w:p w14:paraId="0CDF1E41">
      <w:pPr>
        <w:pStyle w:val="2"/>
        <w:numPr>
          <w:ilvl w:val="0"/>
          <w:numId w:val="0"/>
        </w:numPr>
        <w:spacing w:before="120" w:beforeLines="50" w:line="360" w:lineRule="auto"/>
        <w:rPr>
          <w:rFonts w:ascii="宋体" w:eastAsia="宋体"/>
          <w:b/>
          <w:bCs/>
          <w:sz w:val="24"/>
          <w:szCs w:val="24"/>
        </w:rPr>
      </w:pPr>
      <w:r>
        <w:rPr>
          <w:rFonts w:ascii="宋体" w:eastAsia="宋体"/>
          <w:b/>
          <w:bCs/>
          <w:sz w:val="24"/>
          <w:szCs w:val="24"/>
        </w:rPr>
        <w:br w:type="page"/>
      </w:r>
      <w:r>
        <w:rPr>
          <w:rFonts w:hint="eastAsia" w:ascii="宋体" w:eastAsia="宋体"/>
          <w:b/>
          <w:bCs/>
          <w:sz w:val="24"/>
          <w:szCs w:val="24"/>
        </w:rPr>
        <w:t>第一章  招标公告</w:t>
      </w:r>
      <w:bookmarkEnd w:id="7"/>
    </w:p>
    <w:p w14:paraId="66985D15">
      <w:pPr>
        <w:spacing w:line="360" w:lineRule="auto"/>
        <w:ind w:firstLine="420" w:firstLineChars="200"/>
        <w:jc w:val="both"/>
        <w:rPr>
          <w:rFonts w:hint="eastAsia" w:ascii="宋体" w:hAnsi="宋体"/>
          <w:sz w:val="21"/>
          <w:szCs w:val="21"/>
        </w:rPr>
      </w:pPr>
      <w:r>
        <w:rPr>
          <w:rFonts w:hint="eastAsia" w:ascii="宋体" w:hAnsi="宋体"/>
          <w:sz w:val="21"/>
          <w:szCs w:val="21"/>
        </w:rPr>
        <w:t>思念食品有限公司招标部根据公司招标的要求，就</w:t>
      </w:r>
      <w:r>
        <w:rPr>
          <w:rFonts w:hint="eastAsia" w:ascii="宋体" w:hAnsi="宋体"/>
          <w:b/>
          <w:bCs/>
          <w:sz w:val="21"/>
          <w:szCs w:val="21"/>
          <w:u w:val="single"/>
        </w:rPr>
        <w:t>思念食品有限公司遂平瑾瑜杀菌锅移机</w:t>
      </w:r>
      <w:r>
        <w:rPr>
          <w:rFonts w:hint="eastAsia" w:ascii="宋体" w:hAnsi="宋体"/>
          <w:b/>
          <w:bCs/>
          <w:sz w:val="21"/>
          <w:szCs w:val="21"/>
          <w:u w:val="single"/>
          <w:lang w:val="en-US" w:eastAsia="zh-CN"/>
        </w:rPr>
        <w:t>移位</w:t>
      </w:r>
      <w:r>
        <w:rPr>
          <w:rFonts w:hint="eastAsia" w:ascii="宋体" w:hAnsi="宋体"/>
          <w:b/>
          <w:bCs/>
          <w:sz w:val="21"/>
          <w:szCs w:val="21"/>
          <w:u w:val="single"/>
        </w:rPr>
        <w:t>招标</w:t>
      </w:r>
      <w:r>
        <w:rPr>
          <w:rFonts w:hint="eastAsia" w:ascii="宋体" w:hAnsi="宋体"/>
          <w:sz w:val="21"/>
          <w:szCs w:val="21"/>
        </w:rPr>
        <w:t>进行公开招标，现将招标事宜通知如下：</w:t>
      </w:r>
    </w:p>
    <w:p w14:paraId="7E37D4AE">
      <w:pPr>
        <w:spacing w:line="360" w:lineRule="auto"/>
        <w:ind w:firstLine="422" w:firstLineChars="200"/>
        <w:jc w:val="both"/>
        <w:rPr>
          <w:rFonts w:hint="eastAsia" w:ascii="宋体" w:hAnsi="宋体"/>
          <w:bCs/>
          <w:color w:val="000000"/>
          <w:sz w:val="21"/>
          <w:szCs w:val="21"/>
        </w:rPr>
      </w:pPr>
      <w:r>
        <w:rPr>
          <w:rFonts w:hint="eastAsia" w:ascii="宋体" w:hAnsi="宋体"/>
          <w:b/>
          <w:color w:val="000000"/>
          <w:sz w:val="21"/>
          <w:szCs w:val="21"/>
        </w:rPr>
        <w:t>一、招标内容及要求</w:t>
      </w:r>
      <w:r>
        <w:rPr>
          <w:rFonts w:hint="eastAsia" w:ascii="宋体" w:hAnsi="宋体"/>
          <w:b/>
          <w:sz w:val="21"/>
          <w:szCs w:val="21"/>
        </w:rPr>
        <w:t>：</w:t>
      </w:r>
    </w:p>
    <w:p w14:paraId="3EE70030">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1、项目名称：思念食品有限公司遂平瑾瑜杀菌锅移机</w:t>
      </w:r>
      <w:r>
        <w:rPr>
          <w:rFonts w:hint="eastAsia" w:ascii="宋体" w:hAnsi="宋体"/>
          <w:bCs/>
          <w:color w:val="000000"/>
          <w:sz w:val="21"/>
          <w:szCs w:val="21"/>
          <w:lang w:val="en-US" w:eastAsia="zh-CN"/>
        </w:rPr>
        <w:t>移位</w:t>
      </w:r>
      <w:r>
        <w:rPr>
          <w:rFonts w:hint="eastAsia" w:ascii="宋体" w:hAnsi="宋体"/>
          <w:bCs/>
          <w:color w:val="000000"/>
          <w:sz w:val="21"/>
          <w:szCs w:val="21"/>
        </w:rPr>
        <w:t>招标；</w:t>
      </w:r>
    </w:p>
    <w:p w14:paraId="3EFEF759">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2、地点：</w:t>
      </w:r>
      <w:r>
        <w:rPr>
          <w:rFonts w:hint="eastAsia" w:ascii="宋体" w:hAnsi="宋体"/>
          <w:bCs/>
          <w:color w:val="000000"/>
          <w:sz w:val="21"/>
          <w:szCs w:val="21"/>
          <w:lang w:val="en-US" w:eastAsia="zh-CN"/>
        </w:rPr>
        <w:t>遂平</w:t>
      </w:r>
      <w:r>
        <w:rPr>
          <w:rFonts w:hint="eastAsia" w:ascii="宋体" w:hAnsi="宋体"/>
          <w:bCs/>
          <w:color w:val="000000"/>
          <w:sz w:val="21"/>
          <w:szCs w:val="21"/>
        </w:rPr>
        <w:t>；</w:t>
      </w:r>
    </w:p>
    <w:p w14:paraId="5663D6DD">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3、标段划分：项目共分为1个标段，思念食品有限公司遂平瑾瑜杀菌锅移机招标；</w:t>
      </w:r>
    </w:p>
    <w:p w14:paraId="4F36CBB4">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4、项目概况：</w:t>
      </w:r>
    </w:p>
    <w:p w14:paraId="0431960E">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思念食品遂平基地位于遂平县希望大道东段北侧思念产业园，现针对园区杀菌锅移装项目施工。</w:t>
      </w:r>
    </w:p>
    <w:p w14:paraId="31396A22">
      <w:pPr>
        <w:spacing w:line="360" w:lineRule="auto"/>
        <w:ind w:left="420" w:left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4.1工程招标范围及内容</w:t>
      </w:r>
    </w:p>
    <w:p w14:paraId="03504C84">
      <w:pPr>
        <w:spacing w:line="360" w:lineRule="auto"/>
        <w:ind w:left="420" w:leftChars="200"/>
        <w:jc w:val="both"/>
        <w:rPr>
          <w:rFonts w:hint="default" w:ascii="宋体" w:hAnsi="宋体"/>
          <w:bCs/>
          <w:color w:val="000000"/>
          <w:sz w:val="21"/>
          <w:szCs w:val="21"/>
          <w:lang w:val="en-US" w:eastAsia="zh-CN"/>
        </w:rPr>
      </w:pPr>
      <w:r>
        <w:rPr>
          <w:rFonts w:hint="eastAsia" w:ascii="宋体" w:hAnsi="宋体"/>
          <w:bCs/>
          <w:color w:val="000000"/>
          <w:sz w:val="21"/>
          <w:szCs w:val="21"/>
          <w:lang w:val="en-US" w:eastAsia="zh-CN"/>
        </w:rPr>
        <w:t>①</w:t>
      </w:r>
      <w:r>
        <w:rPr>
          <w:rFonts w:hint="default" w:ascii="宋体" w:hAnsi="宋体"/>
          <w:bCs/>
          <w:color w:val="000000"/>
          <w:sz w:val="21"/>
          <w:szCs w:val="21"/>
          <w:lang w:val="en-US" w:eastAsia="zh-CN"/>
        </w:rPr>
        <w:t>思念食品遂平基地：从遂平瑾瑜二车间拆卸7台杀菌锅，移装到瑾瑜一车间</w:t>
      </w:r>
    </w:p>
    <w:p w14:paraId="7CB5C66B">
      <w:pPr>
        <w:spacing w:line="360" w:lineRule="auto"/>
        <w:ind w:left="420" w:leftChars="200"/>
        <w:jc w:val="both"/>
        <w:rPr>
          <w:rFonts w:hint="eastAsia" w:ascii="宋体" w:hAnsi="宋体"/>
          <w:bCs/>
          <w:color w:val="000000"/>
          <w:sz w:val="21"/>
          <w:szCs w:val="21"/>
          <w:lang w:val="en-US" w:eastAsia="zh-CN"/>
        </w:rPr>
      </w:pPr>
      <w:r>
        <w:rPr>
          <w:rFonts w:hint="default" w:ascii="宋体" w:hAnsi="宋体"/>
          <w:bCs/>
          <w:color w:val="000000"/>
          <w:sz w:val="21"/>
          <w:szCs w:val="21"/>
          <w:lang w:val="en-US" w:eastAsia="zh-CN"/>
        </w:rPr>
        <w:t>施工内容：包括墙体拆除及恢复、设备及辅助管道（蒸汽、给排水、空压）拆卸及安装、设备及配电系统安装</w:t>
      </w:r>
      <w:r>
        <w:rPr>
          <w:rFonts w:hint="eastAsia" w:ascii="宋体" w:hAnsi="宋体"/>
          <w:bCs/>
          <w:color w:val="000000"/>
          <w:sz w:val="21"/>
          <w:szCs w:val="21"/>
          <w:lang w:val="en-US" w:eastAsia="zh-CN"/>
        </w:rPr>
        <w:t>。</w:t>
      </w:r>
    </w:p>
    <w:p w14:paraId="4D4A0AD8">
      <w:pPr>
        <w:spacing w:line="360" w:lineRule="auto"/>
        <w:ind w:left="420" w:leftChars="200"/>
        <w:jc w:val="both"/>
        <w:rPr>
          <w:rFonts w:hint="default" w:ascii="宋体" w:hAnsi="宋体"/>
          <w:bCs/>
          <w:color w:val="000000"/>
          <w:sz w:val="21"/>
          <w:szCs w:val="21"/>
          <w:lang w:val="en-US" w:eastAsia="zh-CN"/>
        </w:rPr>
      </w:pPr>
      <w:r>
        <w:rPr>
          <w:rFonts w:hint="default" w:ascii="宋体" w:hAnsi="宋体"/>
          <w:bCs/>
          <w:color w:val="000000"/>
          <w:sz w:val="21"/>
          <w:szCs w:val="21"/>
          <w:lang w:val="en-US" w:eastAsia="zh-CN"/>
        </w:rPr>
        <w:t>以上施工项目内容包括且不限于：材料采购加工、装卸运输及二次倒运、施工安装、各项施工措施、安全文明措施、环保措施、成品保护措施、垃圾外运出厂等为使本工程顺利完工所采取的全部施工工作内容。</w:t>
      </w:r>
    </w:p>
    <w:p w14:paraId="4F4E9E9B">
      <w:pPr>
        <w:numPr>
          <w:ilvl w:val="0"/>
          <w:numId w:val="2"/>
        </w:numPr>
        <w:spacing w:line="360" w:lineRule="auto"/>
        <w:ind w:left="420" w:left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招标要求：</w:t>
      </w:r>
    </w:p>
    <w:p w14:paraId="66F752AB">
      <w:pPr>
        <w:numPr>
          <w:ilvl w:val="0"/>
          <w:numId w:val="0"/>
        </w:numPr>
        <w:spacing w:line="360" w:lineRule="auto"/>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 xml:space="preserve">    5.1提供近三年来施工过类似项目。</w:t>
      </w:r>
    </w:p>
    <w:p w14:paraId="489926AE">
      <w:pPr>
        <w:numPr>
          <w:ilvl w:val="0"/>
          <w:numId w:val="0"/>
        </w:numPr>
        <w:spacing w:line="360" w:lineRule="auto"/>
        <w:ind w:firstLine="420" w:firstLine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5.2乙方需配备管理人员：施工负责人和安全员的授权和任命文件。</w:t>
      </w:r>
    </w:p>
    <w:p w14:paraId="31F95092">
      <w:pPr>
        <w:numPr>
          <w:ilvl w:val="0"/>
          <w:numId w:val="0"/>
        </w:numPr>
        <w:spacing w:line="360" w:lineRule="auto"/>
        <w:ind w:left="437" w:leftChars="208" w:firstLine="0" w:firstLineChars="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5.3乙方不得将承包范围转包、分包或委托第三人，否则，视为严重违约，甲方有权拒付合同款项有权即时解除合同。</w:t>
      </w:r>
    </w:p>
    <w:p w14:paraId="719E97B2">
      <w:pPr>
        <w:numPr>
          <w:ilvl w:val="0"/>
          <w:numId w:val="0"/>
        </w:numPr>
        <w:spacing w:line="360" w:lineRule="auto"/>
        <w:ind w:firstLine="420" w:firstLine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5.4乙方施工人员需购买50万以上人身意外险或参保工伤保险。并提供相关复印件给甲方备案审查。</w:t>
      </w:r>
    </w:p>
    <w:p w14:paraId="0C093332">
      <w:pPr>
        <w:numPr>
          <w:ilvl w:val="0"/>
          <w:numId w:val="0"/>
        </w:numPr>
        <w:spacing w:line="360" w:lineRule="auto"/>
        <w:ind w:firstLine="420" w:firstLine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5.5乙方所有特种作业人员必须持证上岗。</w:t>
      </w:r>
    </w:p>
    <w:p w14:paraId="1FBC2031">
      <w:pPr>
        <w:numPr>
          <w:ilvl w:val="0"/>
          <w:numId w:val="0"/>
        </w:numPr>
        <w:spacing w:line="360" w:lineRule="auto"/>
        <w:ind w:left="437" w:leftChars="208" w:firstLine="0" w:firstLineChars="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5.6水电费甲方提供水源、电源，乙方挂表使用，如未挂表使用，则电费按照工程结算总造价的千分之5计取，水费按照千分之1计取。</w:t>
      </w:r>
    </w:p>
    <w:p w14:paraId="47567758">
      <w:pPr>
        <w:numPr>
          <w:ilvl w:val="0"/>
          <w:numId w:val="0"/>
        </w:numPr>
        <w:spacing w:line="360" w:lineRule="auto"/>
        <w:ind w:firstLine="420" w:firstLine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5.7乙方进厂施工前签订安全生产管理协议。</w:t>
      </w:r>
    </w:p>
    <w:p w14:paraId="5E51A6D6">
      <w:pPr>
        <w:numPr>
          <w:ilvl w:val="0"/>
          <w:numId w:val="0"/>
        </w:numPr>
        <w:spacing w:line="360" w:lineRule="auto"/>
        <w:ind w:firstLine="420" w:firstLine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5.8需做安全方案的项目必须先提交安全方案，审核合格后方可进行施工。</w:t>
      </w:r>
    </w:p>
    <w:p w14:paraId="4E5B9B84">
      <w:pPr>
        <w:numPr>
          <w:ilvl w:val="0"/>
          <w:numId w:val="0"/>
        </w:numPr>
        <w:spacing w:line="360" w:lineRule="auto"/>
        <w:ind w:firstLine="420" w:firstLine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5.9需做专项技术方案的项目必须先提交技术方案，审核合格后方可进行施工。</w:t>
      </w:r>
    </w:p>
    <w:p w14:paraId="0B1A00AF">
      <w:pPr>
        <w:numPr>
          <w:ilvl w:val="0"/>
          <w:numId w:val="0"/>
        </w:numPr>
        <w:spacing w:line="360" w:lineRule="auto"/>
        <w:ind w:left="437" w:leftChars="208" w:firstLine="0" w:firstLineChars="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5.10施工进度需根据车间停产时间进行，根据工程量足额配备施工人员（施工中禁止出现因人员不足导致施工进度无法保证）。</w:t>
      </w:r>
    </w:p>
    <w:p w14:paraId="73AFAAA1">
      <w:pPr>
        <w:numPr>
          <w:ilvl w:val="0"/>
          <w:numId w:val="0"/>
        </w:numPr>
        <w:spacing w:line="360" w:lineRule="auto"/>
        <w:ind w:firstLine="420" w:firstLine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5.11乙方每项施工内容需匹配专业施工人员进行施工，禁止非专业工种跨专业进行施工。</w:t>
      </w:r>
    </w:p>
    <w:p w14:paraId="53D870E9">
      <w:pPr>
        <w:numPr>
          <w:ilvl w:val="0"/>
          <w:numId w:val="0"/>
        </w:numPr>
        <w:spacing w:line="360" w:lineRule="auto"/>
        <w:ind w:left="437" w:leftChars="208" w:firstLine="0" w:firstLineChars="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5.12乙方进场材料需提供合格证、检验报告、需复检材料必须经第三方检测单位进行复检，按国家规范需进行现场报验。</w:t>
      </w:r>
    </w:p>
    <w:p w14:paraId="6309189D">
      <w:pPr>
        <w:numPr>
          <w:ilvl w:val="0"/>
          <w:numId w:val="0"/>
        </w:numPr>
        <w:spacing w:line="360" w:lineRule="auto"/>
        <w:ind w:left="437" w:leftChars="208" w:firstLine="0" w:firstLineChars="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5.13进场施工单位经安全培训后方可进行施工作业，所有施工人员必须遵循思念第三方园区安全管理规定进行施工</w:t>
      </w:r>
    </w:p>
    <w:p w14:paraId="2D6B39A6">
      <w:pPr>
        <w:numPr>
          <w:ilvl w:val="0"/>
          <w:numId w:val="2"/>
        </w:numPr>
        <w:spacing w:line="360" w:lineRule="auto"/>
        <w:ind w:left="420" w:leftChars="200" w:firstLine="0" w:firstLineChars="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施工要求：</w:t>
      </w:r>
    </w:p>
    <w:p w14:paraId="1019CE08">
      <w:pPr>
        <w:numPr>
          <w:ilvl w:val="0"/>
          <w:numId w:val="0"/>
        </w:numPr>
        <w:spacing w:line="360" w:lineRule="auto"/>
        <w:ind w:left="420" w:hanging="420" w:hanging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 xml:space="preserve">    6.1杀菌锅就位及水平调效：杀菌锅设备为卧式容器 ，杀菌锅设计布置准确就位后，安装应按基础上的安装基准线对设备上的基准点进行找正、找平，保证设备水平；纵向找平，最大倾斜角度不大于3.6mm（L/1000）；横向找平，横向倾斜角度不得大于2mm（2D0/1000）；以相应的基准点进行水平校正，并做好现场记录。</w:t>
      </w:r>
    </w:p>
    <w:p w14:paraId="2A23ED32">
      <w:pPr>
        <w:numPr>
          <w:ilvl w:val="0"/>
          <w:numId w:val="0"/>
        </w:numPr>
        <w:spacing w:line="360" w:lineRule="auto"/>
        <w:ind w:left="420" w:hanging="420" w:hanging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 xml:space="preserve">    6.2压力管道焊接及检测：对所有受压管道的焊接，应由持相应合格项目的焊工负责现场施焊。焊缝外观检查合格，抽样5%进行X射线拍片探伤，其质量不低于III级片为合格。探伤合格后，才能进行液压试验；探伤不合格的焊缝必须进行返修，如仍不合格需进行第二次返修，返修时先制定返修方案，经焊接责任师审核、质保师批准后方能进行返修，返修后用同一方法进行探伤。同一焊缝只允许返修三次。（焊接焊缝部位及X射线探伤位置坐好记录）。</w:t>
      </w:r>
    </w:p>
    <w:p w14:paraId="449D339A">
      <w:pPr>
        <w:numPr>
          <w:ilvl w:val="0"/>
          <w:numId w:val="0"/>
        </w:numPr>
        <w:spacing w:line="360" w:lineRule="auto"/>
        <w:ind w:left="420" w:hanging="420" w:hanging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 xml:space="preserve">    6.3电器控制及仪表的安装：</w:t>
      </w:r>
    </w:p>
    <w:p w14:paraId="7274C7B6">
      <w:pPr>
        <w:numPr>
          <w:ilvl w:val="0"/>
          <w:numId w:val="0"/>
        </w:numPr>
        <w:spacing w:line="360" w:lineRule="auto"/>
        <w:ind w:left="420" w:hanging="420" w:hanging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 xml:space="preserve">    ①安装前检查电器控制柜外表有无碰损，内部组件和线路是否有损坏及乱接现象。 </w:t>
      </w:r>
    </w:p>
    <w:p w14:paraId="2C6540F0">
      <w:pPr>
        <w:numPr>
          <w:ilvl w:val="0"/>
          <w:numId w:val="0"/>
        </w:numPr>
        <w:spacing w:line="360" w:lineRule="auto"/>
        <w:ind w:left="437" w:leftChars="208" w:firstLine="0" w:firstLineChars="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②与电器控制柜配套的仪表、导线、导管是否齐全无损坏。 </w:t>
      </w:r>
    </w:p>
    <w:p w14:paraId="1DB638BA">
      <w:pPr>
        <w:numPr>
          <w:ilvl w:val="0"/>
          <w:numId w:val="0"/>
        </w:numPr>
        <w:spacing w:line="360" w:lineRule="auto"/>
        <w:ind w:left="437" w:leftChars="208" w:firstLine="0" w:firstLineChars="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③按工艺施工图就位，再按图纸、说明书要求安装接线，箱壳需接地。 </w:t>
      </w:r>
    </w:p>
    <w:p w14:paraId="06C6FCD5">
      <w:pPr>
        <w:numPr>
          <w:ilvl w:val="0"/>
          <w:numId w:val="0"/>
        </w:numPr>
        <w:spacing w:line="360" w:lineRule="auto"/>
        <w:ind w:left="437" w:leftChars="208" w:firstLine="0" w:firstLineChars="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④安装完毕，经检查后在绝对绝缘和安全情况下，可送电进行调试。</w:t>
      </w:r>
    </w:p>
    <w:p w14:paraId="7CBE1A75">
      <w:pPr>
        <w:numPr>
          <w:ilvl w:val="0"/>
          <w:numId w:val="0"/>
        </w:numPr>
        <w:spacing w:line="360" w:lineRule="auto"/>
        <w:ind w:left="437" w:leftChars="208" w:firstLine="0" w:firstLineChars="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6.4水压试验：</w:t>
      </w:r>
    </w:p>
    <w:p w14:paraId="7136F4FF">
      <w:pPr>
        <w:numPr>
          <w:ilvl w:val="0"/>
          <w:numId w:val="0"/>
        </w:numPr>
        <w:spacing w:line="360" w:lineRule="auto"/>
        <w:ind w:left="437" w:leftChars="208" w:firstLine="0" w:firstLineChars="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①设备、管道阀门仪表安装前，应压力容器及管道安装告知，申请监督检验，安装完毕后，应进行水压试验自检，并做好记录。自检认可合格后，报请河南省驻马店市锅检所进行压力容器及管道检验检测，领取特种设备及管道监督检验报告。</w:t>
      </w:r>
    </w:p>
    <w:p w14:paraId="4D46A28C">
      <w:pPr>
        <w:numPr>
          <w:ilvl w:val="0"/>
          <w:numId w:val="0"/>
        </w:numPr>
        <w:spacing w:line="360" w:lineRule="auto"/>
        <w:ind w:left="437" w:leftChars="208" w:firstLine="0" w:firstLineChars="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②水压试验前应对杀菌锅和水管路进行空气吹扫。</w:t>
      </w:r>
    </w:p>
    <w:p w14:paraId="142E0E2B">
      <w:pPr>
        <w:numPr>
          <w:ilvl w:val="0"/>
          <w:numId w:val="0"/>
        </w:numPr>
        <w:spacing w:line="360" w:lineRule="auto"/>
        <w:ind w:left="437" w:leftChars="208" w:firstLine="0" w:firstLineChars="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③空气出扫过程中，其流速不宜小于20m/s。当目测排气无烟尘时，应在管道终点排气口位置设置铝制靶板上无铁锈、尘土、水分及其他杂物，即为合格。</w:t>
      </w:r>
    </w:p>
    <w:p w14:paraId="2926673E">
      <w:pPr>
        <w:numPr>
          <w:ilvl w:val="0"/>
          <w:numId w:val="0"/>
        </w:numPr>
        <w:spacing w:line="360" w:lineRule="auto"/>
        <w:ind w:left="437" w:leftChars="208" w:firstLine="0" w:firstLineChars="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6.5电器控制仪表调试</w:t>
      </w:r>
    </w:p>
    <w:p w14:paraId="51D37F21">
      <w:pPr>
        <w:numPr>
          <w:ilvl w:val="0"/>
          <w:numId w:val="0"/>
        </w:numPr>
        <w:spacing w:line="360" w:lineRule="auto"/>
        <w:ind w:left="437" w:leftChars="208" w:firstLine="0" w:firstLineChars="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①检查线路电压是否符合要求，各种开关位置是否正常。</w:t>
      </w:r>
    </w:p>
    <w:p w14:paraId="6D11E804">
      <w:pPr>
        <w:numPr>
          <w:ilvl w:val="0"/>
          <w:numId w:val="0"/>
        </w:numPr>
        <w:spacing w:line="360" w:lineRule="auto"/>
        <w:ind w:left="437" w:leftChars="208" w:firstLine="0" w:firstLineChars="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②检查阀门、仪表等是否正常。</w:t>
      </w:r>
    </w:p>
    <w:p w14:paraId="6AB69046">
      <w:pPr>
        <w:numPr>
          <w:ilvl w:val="0"/>
          <w:numId w:val="0"/>
        </w:numPr>
        <w:spacing w:line="360" w:lineRule="auto"/>
        <w:ind w:left="437" w:leftChars="208" w:firstLine="0" w:firstLineChars="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6.6试运行、总体调试：</w:t>
      </w:r>
    </w:p>
    <w:p w14:paraId="077FA805">
      <w:pPr>
        <w:numPr>
          <w:ilvl w:val="0"/>
          <w:numId w:val="0"/>
        </w:numPr>
        <w:spacing w:line="360" w:lineRule="auto"/>
        <w:ind w:left="437" w:leftChars="208" w:firstLine="0" w:firstLineChars="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①所有阀门启闭灵活，无渗漏。</w:t>
      </w:r>
    </w:p>
    <w:p w14:paraId="3FA53375">
      <w:pPr>
        <w:numPr>
          <w:ilvl w:val="0"/>
          <w:numId w:val="0"/>
        </w:numPr>
        <w:spacing w:line="360" w:lineRule="auto"/>
        <w:ind w:left="437" w:leftChars="208" w:firstLine="0" w:firstLineChars="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②压力表、温度计指示清晰、准确。</w:t>
      </w:r>
    </w:p>
    <w:p w14:paraId="6831074A">
      <w:pPr>
        <w:numPr>
          <w:ilvl w:val="0"/>
          <w:numId w:val="0"/>
        </w:numPr>
        <w:spacing w:line="360" w:lineRule="auto"/>
        <w:ind w:left="437" w:leftChars="208" w:firstLine="0" w:firstLineChars="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③液位控制器、报警系统灵敏、安全、可靠。</w:t>
      </w:r>
    </w:p>
    <w:p w14:paraId="536AE69B">
      <w:pPr>
        <w:numPr>
          <w:ilvl w:val="0"/>
          <w:numId w:val="0"/>
        </w:numPr>
        <w:spacing w:line="360" w:lineRule="auto"/>
        <w:ind w:left="437" w:leftChars="208" w:firstLine="0" w:firstLineChars="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④排污系统畅通安全，无震动。</w:t>
      </w:r>
    </w:p>
    <w:p w14:paraId="5D981701">
      <w:pPr>
        <w:numPr>
          <w:ilvl w:val="0"/>
          <w:numId w:val="0"/>
        </w:numPr>
        <w:spacing w:line="360" w:lineRule="auto"/>
        <w:ind w:left="437" w:leftChars="208" w:firstLine="0" w:firstLineChars="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⑤电气设备准确安全可靠。</w:t>
      </w:r>
    </w:p>
    <w:p w14:paraId="2B7BDC89">
      <w:pPr>
        <w:numPr>
          <w:ilvl w:val="0"/>
          <w:numId w:val="2"/>
        </w:numPr>
        <w:spacing w:line="360" w:lineRule="auto"/>
        <w:ind w:left="420" w:leftChars="200" w:firstLine="0" w:firstLineChars="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报价和结算方式：</w:t>
      </w:r>
    </w:p>
    <w:p w14:paraId="34FD821E">
      <w:pPr>
        <w:numPr>
          <w:ilvl w:val="0"/>
          <w:numId w:val="0"/>
        </w:numPr>
        <w:spacing w:line="360" w:lineRule="auto"/>
        <w:ind w:left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7.1本项目采用总价包死</w:t>
      </w:r>
    </w:p>
    <w:p w14:paraId="06E8AE36">
      <w:pPr>
        <w:numPr>
          <w:ilvl w:val="0"/>
          <w:numId w:val="0"/>
        </w:numPr>
        <w:spacing w:line="360" w:lineRule="auto"/>
        <w:ind w:left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7.2计价依据</w:t>
      </w:r>
    </w:p>
    <w:p w14:paraId="27284667">
      <w:pPr>
        <w:numPr>
          <w:ilvl w:val="0"/>
          <w:numId w:val="0"/>
        </w:numPr>
        <w:spacing w:line="360" w:lineRule="auto"/>
        <w:ind w:left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①税金按9%（增值税）计取。</w:t>
      </w:r>
    </w:p>
    <w:p w14:paraId="424223E3">
      <w:pPr>
        <w:numPr>
          <w:ilvl w:val="0"/>
          <w:numId w:val="0"/>
        </w:numPr>
        <w:spacing w:line="360" w:lineRule="auto"/>
        <w:ind w:left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②水电费：施工用水5元/吨，用电1.5元/度。中标单位现场挂表计量，服从发包方的管理。每月发包方管理人员抄表计量。发包方财务部门核算后一周内，承包方将费用交至发包方财务部门。</w:t>
      </w:r>
    </w:p>
    <w:p w14:paraId="29E98148">
      <w:pPr>
        <w:numPr>
          <w:ilvl w:val="0"/>
          <w:numId w:val="0"/>
        </w:numPr>
        <w:spacing w:line="360" w:lineRule="auto"/>
        <w:ind w:left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③水电费甲方提供水源、电源，乙方挂表使用，如未挂表使用，则电费按照工程结算总造价的千分之5计取，水费按照千分之1计取。</w:t>
      </w:r>
    </w:p>
    <w:p w14:paraId="100A2449">
      <w:pPr>
        <w:numPr>
          <w:ilvl w:val="0"/>
          <w:numId w:val="2"/>
        </w:numPr>
        <w:spacing w:line="360" w:lineRule="auto"/>
        <w:ind w:left="420" w:leftChars="200" w:firstLine="0" w:firstLineChars="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承包方式、开工日期、合同期限：</w:t>
      </w:r>
    </w:p>
    <w:p w14:paraId="08A077FD">
      <w:pPr>
        <w:numPr>
          <w:ilvl w:val="0"/>
          <w:numId w:val="0"/>
        </w:numPr>
        <w:spacing w:line="360" w:lineRule="auto"/>
        <w:ind w:left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8.1承包方式：包工包料，包安全文明及环保等费用。</w:t>
      </w:r>
    </w:p>
    <w:p w14:paraId="3B826A84">
      <w:pPr>
        <w:numPr>
          <w:ilvl w:val="0"/>
          <w:numId w:val="0"/>
        </w:numPr>
        <w:spacing w:line="360" w:lineRule="auto"/>
        <w:ind w:left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8.2开工日期：具体以甲方通知为准。</w:t>
      </w:r>
    </w:p>
    <w:p w14:paraId="50EC4FFA">
      <w:pPr>
        <w:numPr>
          <w:ilvl w:val="0"/>
          <w:numId w:val="0"/>
        </w:numPr>
        <w:spacing w:line="360" w:lineRule="auto"/>
        <w:ind w:left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8.3总工期：20日历天。</w:t>
      </w:r>
    </w:p>
    <w:p w14:paraId="14F4F6E6">
      <w:pPr>
        <w:numPr>
          <w:ilvl w:val="0"/>
          <w:numId w:val="2"/>
        </w:numPr>
        <w:spacing w:line="360" w:lineRule="auto"/>
        <w:ind w:left="420" w:leftChars="200" w:firstLine="0" w:firstLineChars="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付款方式：</w:t>
      </w:r>
    </w:p>
    <w:p w14:paraId="6A1BFB5B">
      <w:pPr>
        <w:numPr>
          <w:ilvl w:val="0"/>
          <w:numId w:val="0"/>
        </w:numPr>
        <w:spacing w:line="360" w:lineRule="auto"/>
        <w:ind w:left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9.1竣工结算款：工程完工，经甲方竣工验收合格后，甲方支付至工程结算总价的95%给乙方；</w:t>
      </w:r>
    </w:p>
    <w:p w14:paraId="270A794A">
      <w:pPr>
        <w:numPr>
          <w:ilvl w:val="0"/>
          <w:numId w:val="0"/>
        </w:numPr>
        <w:spacing w:line="360" w:lineRule="auto"/>
        <w:ind w:left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9.2质保金：结算总价的剩余5%为质保金，质保期为一年，一年后无质量问题30个工作日内无息支付。</w:t>
      </w:r>
    </w:p>
    <w:p w14:paraId="608CD2A1">
      <w:pPr>
        <w:numPr>
          <w:ilvl w:val="0"/>
          <w:numId w:val="0"/>
        </w:numPr>
        <w:spacing w:line="360" w:lineRule="auto"/>
        <w:ind w:left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9.3付款前乙方需提供合法有效的增值税专用发票给甲方。</w:t>
      </w:r>
    </w:p>
    <w:p w14:paraId="1EF1B283">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10、发票要求：提供增值税专用发票；</w:t>
      </w:r>
    </w:p>
    <w:p w14:paraId="66DFD3BB">
      <w:pPr>
        <w:numPr>
          <w:ilvl w:val="0"/>
          <w:numId w:val="0"/>
        </w:numPr>
        <w:spacing w:line="360" w:lineRule="auto"/>
        <w:ind w:leftChars="200"/>
        <w:jc w:val="both"/>
        <w:rPr>
          <w:rFonts w:hint="default" w:ascii="宋体" w:hAnsi="宋体"/>
          <w:bCs/>
          <w:color w:val="000000"/>
          <w:sz w:val="21"/>
          <w:szCs w:val="21"/>
          <w:lang w:val="en-US" w:eastAsia="zh-CN"/>
        </w:rPr>
      </w:pPr>
      <w:r>
        <w:rPr>
          <w:rFonts w:hint="eastAsia" w:ascii="宋体" w:hAnsi="宋体"/>
          <w:bCs/>
          <w:color w:val="000000"/>
          <w:sz w:val="21"/>
          <w:szCs w:val="21"/>
          <w:lang w:val="en-US" w:eastAsia="zh-CN"/>
        </w:rPr>
        <w:t>11、资质要求：机电工程施工三级及GC2资质。</w:t>
      </w:r>
    </w:p>
    <w:p w14:paraId="02A97A1D">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lang w:val="en-US" w:eastAsia="zh-CN"/>
        </w:rPr>
        <w:t>12</w:t>
      </w:r>
      <w:r>
        <w:rPr>
          <w:rFonts w:hint="eastAsia" w:ascii="宋体" w:hAnsi="宋体"/>
          <w:bCs/>
          <w:color w:val="000000"/>
          <w:sz w:val="21"/>
          <w:szCs w:val="21"/>
        </w:rPr>
        <w:t>、投标及报价要求：</w:t>
      </w:r>
    </w:p>
    <w:p w14:paraId="3ABE6342">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lang w:val="en-US" w:eastAsia="zh-CN"/>
        </w:rPr>
        <w:t>12</w:t>
      </w:r>
      <w:r>
        <w:rPr>
          <w:rFonts w:hint="eastAsia" w:ascii="宋体" w:hAnsi="宋体"/>
          <w:bCs/>
          <w:color w:val="000000"/>
          <w:sz w:val="21"/>
          <w:szCs w:val="21"/>
        </w:rPr>
        <w:t>.1投标单位需按格式要求编制投标文件；（投标方可投报其中一个或多个标段）</w:t>
      </w:r>
    </w:p>
    <w:p w14:paraId="34F2A1B6">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lang w:val="en-US" w:eastAsia="zh-CN"/>
        </w:rPr>
        <w:t>12</w:t>
      </w:r>
      <w:r>
        <w:rPr>
          <w:rFonts w:hint="eastAsia" w:ascii="宋体" w:hAnsi="宋体"/>
          <w:bCs/>
          <w:color w:val="000000"/>
          <w:sz w:val="21"/>
          <w:szCs w:val="21"/>
        </w:rPr>
        <w:t>.2中标方不得将承包范围转包、分包或委托第三人，否则，视为严重违约，招标人有权拒付合同款项有权即时解除合同。</w:t>
      </w:r>
    </w:p>
    <w:p w14:paraId="5B329F94">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lang w:val="en-US" w:eastAsia="zh-CN"/>
        </w:rPr>
        <w:t>12</w:t>
      </w:r>
      <w:r>
        <w:rPr>
          <w:rFonts w:hint="eastAsia" w:ascii="宋体" w:hAnsi="宋体"/>
          <w:bCs/>
          <w:color w:val="000000"/>
          <w:sz w:val="21"/>
          <w:szCs w:val="21"/>
        </w:rPr>
        <w:t>.3报价要求：投标单位需考虑投入的人工/设备/运输等成本、现场踏勘、其他风险、税率等产生的综合费用，按照报价单要求进行报价。</w:t>
      </w:r>
    </w:p>
    <w:p w14:paraId="3FFC55B2">
      <w:pPr>
        <w:spacing w:line="360" w:lineRule="auto"/>
        <w:ind w:firstLine="422" w:firstLineChars="200"/>
        <w:jc w:val="both"/>
        <w:rPr>
          <w:rFonts w:hint="eastAsia" w:ascii="宋体" w:hAnsi="宋体"/>
          <w:b/>
          <w:color w:val="000000"/>
          <w:sz w:val="21"/>
          <w:szCs w:val="21"/>
        </w:rPr>
      </w:pPr>
      <w:r>
        <w:rPr>
          <w:rFonts w:hint="eastAsia" w:ascii="宋体" w:hAnsi="宋体"/>
          <w:b/>
          <w:color w:val="000000"/>
          <w:sz w:val="21"/>
          <w:szCs w:val="21"/>
        </w:rPr>
        <w:t>二、投标单位资格要求：</w:t>
      </w:r>
    </w:p>
    <w:p w14:paraId="4E707165">
      <w:pPr>
        <w:spacing w:line="360" w:lineRule="auto"/>
        <w:ind w:firstLine="422" w:firstLineChars="200"/>
        <w:jc w:val="both"/>
        <w:rPr>
          <w:rFonts w:hint="eastAsia" w:ascii="宋体" w:hAnsi="宋体"/>
          <w:bCs/>
          <w:color w:val="000000"/>
          <w:sz w:val="21"/>
          <w:szCs w:val="21"/>
        </w:rPr>
      </w:pPr>
      <w:r>
        <w:rPr>
          <w:rFonts w:hint="eastAsia" w:ascii="宋体" w:hAnsi="宋体"/>
          <w:b/>
          <w:color w:val="000000"/>
          <w:sz w:val="21"/>
          <w:szCs w:val="21"/>
        </w:rPr>
        <w:t>1、营业执照</w:t>
      </w:r>
      <w:r>
        <w:rPr>
          <w:rFonts w:hint="eastAsia" w:ascii="宋体" w:hAnsi="宋体"/>
          <w:bCs/>
          <w:color w:val="000000"/>
          <w:sz w:val="21"/>
          <w:szCs w:val="21"/>
        </w:rPr>
        <w:t>：需在中华人民共和国境内具有</w:t>
      </w:r>
      <w:r>
        <w:rPr>
          <w:rFonts w:hint="eastAsia" w:ascii="宋体" w:hAnsi="宋体"/>
          <w:b/>
          <w:color w:val="000000"/>
          <w:sz w:val="21"/>
          <w:szCs w:val="21"/>
        </w:rPr>
        <w:t>独立法人资格</w:t>
      </w:r>
      <w:r>
        <w:rPr>
          <w:rFonts w:hint="eastAsia" w:ascii="宋体" w:hAnsi="宋体"/>
          <w:bCs/>
          <w:color w:val="000000"/>
          <w:sz w:val="21"/>
          <w:szCs w:val="21"/>
        </w:rPr>
        <w:t>，具有有效期内的营业执照，法人无不良记录；</w:t>
      </w:r>
    </w:p>
    <w:p w14:paraId="4ABB0077">
      <w:pPr>
        <w:spacing w:line="360" w:lineRule="auto"/>
        <w:ind w:firstLine="422" w:firstLineChars="200"/>
        <w:jc w:val="both"/>
        <w:rPr>
          <w:rFonts w:hint="eastAsia" w:ascii="宋体" w:hAnsi="宋体"/>
          <w:bCs/>
          <w:color w:val="000000"/>
          <w:sz w:val="21"/>
          <w:szCs w:val="21"/>
        </w:rPr>
      </w:pPr>
      <w:r>
        <w:rPr>
          <w:rFonts w:hint="eastAsia" w:ascii="宋体" w:hAnsi="宋体"/>
          <w:b/>
          <w:color w:val="000000"/>
          <w:sz w:val="21"/>
          <w:szCs w:val="21"/>
        </w:rPr>
        <w:t>2、</w:t>
      </w:r>
      <w:r>
        <w:rPr>
          <w:rFonts w:hint="eastAsia" w:ascii="宋体" w:hAnsi="宋体"/>
          <w:bCs/>
          <w:color w:val="000000"/>
          <w:sz w:val="21"/>
          <w:szCs w:val="21"/>
        </w:rPr>
        <w:t>单位负责人为同一人或者存在控股、管理关系的不同单位，不得参与同一标段或者未划分标段的同一招标项目投标；</w:t>
      </w:r>
    </w:p>
    <w:p w14:paraId="030DA7BB">
      <w:pPr>
        <w:numPr>
          <w:ilvl w:val="0"/>
          <w:numId w:val="3"/>
        </w:numPr>
        <w:spacing w:line="360" w:lineRule="auto"/>
        <w:ind w:firstLine="422" w:firstLineChars="200"/>
        <w:jc w:val="both"/>
        <w:rPr>
          <w:rFonts w:hint="eastAsia" w:ascii="宋体" w:hAnsi="宋体"/>
          <w:sz w:val="21"/>
          <w:szCs w:val="21"/>
        </w:rPr>
      </w:pPr>
      <w:r>
        <w:rPr>
          <w:rFonts w:hint="eastAsia" w:ascii="宋体" w:hAnsi="宋体"/>
          <w:b/>
          <w:color w:val="000000"/>
          <w:sz w:val="21"/>
          <w:szCs w:val="21"/>
        </w:rPr>
        <w:t>投标报名：</w:t>
      </w:r>
    </w:p>
    <w:p w14:paraId="3DE863E3">
      <w:pPr>
        <w:spacing w:line="360" w:lineRule="auto"/>
        <w:ind w:firstLine="420" w:firstLineChars="200"/>
        <w:jc w:val="both"/>
        <w:rPr>
          <w:rFonts w:hint="eastAsia" w:ascii="宋体" w:hAnsi="宋体"/>
          <w:sz w:val="21"/>
          <w:szCs w:val="21"/>
        </w:rPr>
      </w:pPr>
      <w:r>
        <w:rPr>
          <w:rFonts w:hint="eastAsia" w:ascii="宋体" w:hAnsi="宋体"/>
          <w:sz w:val="21"/>
          <w:szCs w:val="21"/>
        </w:rPr>
        <w:t>3.1、</w:t>
      </w:r>
      <w:r>
        <w:rPr>
          <w:rFonts w:ascii="宋体" w:hAnsi="宋体"/>
          <w:sz w:val="21"/>
          <w:szCs w:val="21"/>
        </w:rPr>
        <w:t>报名资料：</w:t>
      </w:r>
      <w:r>
        <w:rPr>
          <w:rFonts w:ascii="宋体" w:hAnsi="宋体"/>
          <w:b/>
          <w:bCs/>
          <w:sz w:val="21"/>
          <w:szCs w:val="21"/>
        </w:rPr>
        <w:t>法定代表人授权委托书、被委托人身份证、营业执照</w:t>
      </w:r>
      <w:r>
        <w:rPr>
          <w:rFonts w:hint="eastAsia" w:ascii="宋体" w:hAnsi="宋体"/>
          <w:b/>
          <w:bCs/>
          <w:sz w:val="21"/>
          <w:szCs w:val="21"/>
        </w:rPr>
        <w:t>、机电工程施工三级及GC2资质；</w:t>
      </w:r>
    </w:p>
    <w:p w14:paraId="174CC2BA">
      <w:pPr>
        <w:spacing w:line="360" w:lineRule="auto"/>
        <w:ind w:firstLine="420" w:firstLineChars="200"/>
        <w:jc w:val="both"/>
        <w:rPr>
          <w:rFonts w:hint="eastAsia" w:ascii="宋体" w:hAnsi="宋体"/>
          <w:sz w:val="21"/>
          <w:szCs w:val="21"/>
        </w:rPr>
      </w:pPr>
      <w:r>
        <w:rPr>
          <w:rFonts w:hint="eastAsia" w:ascii="宋体" w:hAnsi="宋体"/>
          <w:sz w:val="21"/>
          <w:szCs w:val="21"/>
        </w:rPr>
        <w:t>3.2、报名时间：</w:t>
      </w:r>
      <w:r>
        <w:rPr>
          <w:rFonts w:hint="eastAsia" w:ascii="宋体" w:hAnsi="宋体"/>
          <w:b/>
          <w:bCs/>
          <w:sz w:val="21"/>
          <w:szCs w:val="21"/>
        </w:rPr>
        <w:t>2025年12月</w:t>
      </w:r>
      <w:r>
        <w:rPr>
          <w:rFonts w:hint="eastAsia" w:ascii="宋体" w:hAnsi="宋体"/>
          <w:b/>
          <w:bCs/>
          <w:sz w:val="21"/>
          <w:szCs w:val="21"/>
          <w:lang w:val="en-US" w:eastAsia="zh-CN"/>
        </w:rPr>
        <w:t>18</w:t>
      </w:r>
      <w:r>
        <w:rPr>
          <w:rFonts w:hint="eastAsia" w:ascii="宋体" w:hAnsi="宋体"/>
          <w:b/>
          <w:bCs/>
          <w:sz w:val="21"/>
          <w:szCs w:val="21"/>
        </w:rPr>
        <w:t>日--2025年12月</w:t>
      </w:r>
      <w:r>
        <w:rPr>
          <w:rFonts w:hint="eastAsia" w:ascii="宋体" w:hAnsi="宋体"/>
          <w:b/>
          <w:bCs/>
          <w:sz w:val="21"/>
          <w:szCs w:val="21"/>
          <w:lang w:val="en-US" w:eastAsia="zh-CN"/>
        </w:rPr>
        <w:t>25</w:t>
      </w:r>
      <w:r>
        <w:rPr>
          <w:rFonts w:hint="eastAsia" w:ascii="宋体" w:hAnsi="宋体"/>
          <w:b/>
          <w:bCs/>
          <w:sz w:val="21"/>
          <w:szCs w:val="21"/>
        </w:rPr>
        <w:t>日</w:t>
      </w:r>
      <w:r>
        <w:rPr>
          <w:rFonts w:hint="eastAsia" w:ascii="宋体" w:hAnsi="宋体"/>
          <w:sz w:val="21"/>
          <w:szCs w:val="21"/>
        </w:rPr>
        <w:t>，上午9时00分—12时00分，下午14时00分—17时30分（节假日除外）；</w:t>
      </w:r>
    </w:p>
    <w:p w14:paraId="76D71A15">
      <w:pPr>
        <w:spacing w:line="360" w:lineRule="auto"/>
        <w:ind w:firstLine="420" w:firstLineChars="200"/>
        <w:rPr>
          <w:rFonts w:hint="eastAsia" w:ascii="宋体" w:hAnsi="宋体"/>
          <w:b/>
          <w:bCs/>
          <w:sz w:val="21"/>
          <w:szCs w:val="21"/>
        </w:rPr>
      </w:pPr>
      <w:r>
        <w:rPr>
          <w:rFonts w:hint="eastAsia" w:ascii="宋体" w:hAnsi="宋体"/>
          <w:sz w:val="21"/>
          <w:szCs w:val="21"/>
        </w:rPr>
        <w:t>3.3、报名方式：请投标单位在报名时间内，委托授权代表</w:t>
      </w:r>
      <w:r>
        <w:rPr>
          <w:rFonts w:hint="eastAsia" w:ascii="宋体" w:hAnsi="宋体"/>
          <w:b/>
          <w:bCs/>
          <w:sz w:val="21"/>
          <w:szCs w:val="21"/>
        </w:rPr>
        <w:t>用个人微信扫描二维码提交以上报名资料，并同步发送邮箱：</w:t>
      </w:r>
      <w:r>
        <w:rPr>
          <w:rFonts w:ascii="宋体" w:hAnsi="宋体"/>
          <w:b/>
          <w:bCs/>
          <w:sz w:val="21"/>
          <w:szCs w:val="21"/>
        </w:rPr>
        <w:t>qinweiqi@synear.com</w:t>
      </w:r>
      <w:r>
        <w:rPr>
          <w:rFonts w:hint="eastAsia" w:ascii="宋体" w:hAnsi="宋体"/>
          <w:b/>
          <w:bCs/>
          <w:sz w:val="21"/>
          <w:szCs w:val="21"/>
        </w:rPr>
        <w:t>一份扫描件；</w:t>
      </w:r>
    </w:p>
    <w:p w14:paraId="35108088">
      <w:pPr>
        <w:spacing w:line="360" w:lineRule="auto"/>
        <w:ind w:firstLine="420" w:firstLineChars="200"/>
        <w:rPr>
          <w:rFonts w:hint="eastAsia" w:ascii="宋体" w:hAnsi="宋体"/>
          <w:sz w:val="21"/>
          <w:szCs w:val="21"/>
        </w:rPr>
      </w:pPr>
      <w:r>
        <w:rPr>
          <w:rFonts w:hint="eastAsia" w:ascii="宋体" w:hAnsi="宋体" w:cs="宋体"/>
          <w:sz w:val="21"/>
          <w:szCs w:val="21"/>
          <w:highlight w:val="yellow"/>
        </w:rPr>
        <w:t>（注：投标单位</w:t>
      </w:r>
      <w:r>
        <w:rPr>
          <w:rFonts w:hint="eastAsia" w:ascii="宋体" w:hAnsi="宋体"/>
          <w:sz w:val="21"/>
          <w:szCs w:val="21"/>
          <w:highlight w:val="yellow"/>
        </w:rPr>
        <w:t>提交信息务必准确，</w:t>
      </w:r>
      <w:r>
        <w:rPr>
          <w:rFonts w:hint="eastAsia" w:ascii="宋体" w:hAnsi="宋体" w:cs="宋体"/>
          <w:sz w:val="21"/>
          <w:szCs w:val="21"/>
          <w:highlight w:val="yellow"/>
        </w:rPr>
        <w:t>报名资料通过审核后，我司以邮箱形式发送招标文件等资料；报名资料审核未通过的单位不能参与本次投标；）</w:t>
      </w:r>
    </w:p>
    <w:p w14:paraId="551FA045">
      <w:pPr>
        <w:pStyle w:val="9"/>
        <w:ind w:firstLine="0" w:firstLineChars="0"/>
        <w:jc w:val="center"/>
      </w:pPr>
      <w:r>
        <w:drawing>
          <wp:inline distT="0" distB="0" distL="114300" distR="114300">
            <wp:extent cx="1281430" cy="1245235"/>
            <wp:effectExtent l="0" t="0" r="13970" b="1206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1281430" cy="1245235"/>
                    </a:xfrm>
                    <a:prstGeom prst="rect">
                      <a:avLst/>
                    </a:prstGeom>
                    <a:noFill/>
                    <a:ln>
                      <a:noFill/>
                    </a:ln>
                  </pic:spPr>
                </pic:pic>
              </a:graphicData>
            </a:graphic>
          </wp:inline>
        </w:drawing>
      </w:r>
    </w:p>
    <w:p w14:paraId="3954601E">
      <w:pPr>
        <w:pStyle w:val="9"/>
        <w:ind w:firstLine="0" w:firstLineChars="0"/>
        <w:jc w:val="center"/>
      </w:pPr>
    </w:p>
    <w:p w14:paraId="74F82BB2">
      <w:pPr>
        <w:spacing w:line="360" w:lineRule="auto"/>
        <w:ind w:firstLine="462" w:firstLineChars="200"/>
        <w:jc w:val="both"/>
        <w:rPr>
          <w:rFonts w:hint="eastAsia" w:ascii="宋体" w:hAnsi="宋体"/>
          <w:b/>
          <w:spacing w:val="10"/>
          <w:kern w:val="24"/>
          <w:sz w:val="21"/>
          <w:szCs w:val="21"/>
        </w:rPr>
      </w:pPr>
      <w:r>
        <w:rPr>
          <w:rFonts w:hint="eastAsia" w:ascii="宋体" w:hAnsi="宋体"/>
          <w:b/>
          <w:spacing w:val="10"/>
          <w:kern w:val="24"/>
          <w:sz w:val="21"/>
          <w:szCs w:val="21"/>
        </w:rPr>
        <w:t>四、投标保证金：</w:t>
      </w:r>
    </w:p>
    <w:p w14:paraId="6FB152D5">
      <w:pPr>
        <w:spacing w:line="360" w:lineRule="auto"/>
        <w:ind w:firstLine="460" w:firstLineChars="200"/>
        <w:jc w:val="both"/>
        <w:rPr>
          <w:rFonts w:hint="eastAsia" w:ascii="宋体" w:hAnsi="宋体"/>
          <w:spacing w:val="10"/>
          <w:kern w:val="24"/>
          <w:sz w:val="21"/>
          <w:szCs w:val="21"/>
        </w:rPr>
      </w:pPr>
      <w:r>
        <w:rPr>
          <w:rFonts w:hint="eastAsia" w:ascii="宋体" w:hAnsi="宋体"/>
          <w:bCs/>
          <w:spacing w:val="10"/>
          <w:kern w:val="24"/>
          <w:sz w:val="21"/>
          <w:szCs w:val="21"/>
        </w:rPr>
        <w:t>1、</w:t>
      </w:r>
      <w:r>
        <w:rPr>
          <w:rFonts w:hint="eastAsia" w:ascii="宋体" w:hAnsi="宋体"/>
          <w:spacing w:val="10"/>
          <w:kern w:val="24"/>
          <w:sz w:val="21"/>
          <w:szCs w:val="21"/>
        </w:rPr>
        <w:t>开标前,各投标单位需缴纳投标保证金人民币</w:t>
      </w:r>
      <w:r>
        <w:rPr>
          <w:rFonts w:hint="eastAsia" w:ascii="宋体" w:hAnsi="宋体"/>
          <w:b/>
          <w:bCs/>
          <w:spacing w:val="10"/>
          <w:kern w:val="24"/>
          <w:sz w:val="21"/>
          <w:szCs w:val="21"/>
          <w:u w:val="single"/>
          <w:lang w:val="en-US" w:eastAsia="zh-CN"/>
        </w:rPr>
        <w:t>2</w:t>
      </w:r>
      <w:r>
        <w:rPr>
          <w:rFonts w:hint="eastAsia" w:ascii="宋体" w:hAnsi="宋体"/>
          <w:b/>
          <w:bCs/>
          <w:spacing w:val="10"/>
          <w:kern w:val="24"/>
          <w:sz w:val="21"/>
          <w:szCs w:val="21"/>
          <w:u w:val="single"/>
        </w:rPr>
        <w:t>0000</w:t>
      </w:r>
      <w:r>
        <w:rPr>
          <w:rFonts w:hint="eastAsia" w:ascii="宋体" w:hAnsi="宋体"/>
          <w:b/>
          <w:spacing w:val="10"/>
          <w:kern w:val="24"/>
          <w:sz w:val="21"/>
          <w:szCs w:val="21"/>
        </w:rPr>
        <w:t>元</w:t>
      </w:r>
      <w:r>
        <w:rPr>
          <w:rFonts w:hint="eastAsia" w:ascii="宋体" w:hAnsi="宋体"/>
          <w:b/>
          <w:bCs/>
          <w:spacing w:val="10"/>
          <w:kern w:val="24"/>
          <w:sz w:val="21"/>
          <w:szCs w:val="21"/>
        </w:rPr>
        <w:t>（</w:t>
      </w:r>
      <w:r>
        <w:rPr>
          <w:rFonts w:hint="eastAsia" w:ascii="宋体" w:hAnsi="宋体"/>
          <w:b/>
          <w:bCs/>
          <w:spacing w:val="10"/>
          <w:kern w:val="24"/>
          <w:sz w:val="21"/>
          <w:szCs w:val="21"/>
          <w:u w:val="single"/>
        </w:rPr>
        <w:t>大写：</w:t>
      </w:r>
      <w:r>
        <w:rPr>
          <w:rFonts w:hint="eastAsia" w:ascii="宋体" w:hAnsi="宋体"/>
          <w:b/>
          <w:bCs/>
          <w:spacing w:val="10"/>
          <w:kern w:val="24"/>
          <w:sz w:val="21"/>
          <w:szCs w:val="21"/>
          <w:u w:val="single"/>
          <w:lang w:val="en-US" w:eastAsia="zh-CN"/>
        </w:rPr>
        <w:t>贰</w:t>
      </w:r>
      <w:r>
        <w:rPr>
          <w:rFonts w:hint="eastAsia" w:ascii="宋体" w:hAnsi="宋体"/>
          <w:b/>
          <w:bCs/>
          <w:spacing w:val="10"/>
          <w:kern w:val="24"/>
          <w:sz w:val="21"/>
          <w:szCs w:val="21"/>
          <w:u w:val="single"/>
        </w:rPr>
        <w:t>万元整</w:t>
      </w:r>
      <w:r>
        <w:rPr>
          <w:rFonts w:hint="eastAsia" w:ascii="宋体" w:hAnsi="宋体"/>
          <w:b/>
          <w:bCs/>
          <w:spacing w:val="10"/>
          <w:kern w:val="24"/>
          <w:sz w:val="21"/>
          <w:szCs w:val="21"/>
        </w:rPr>
        <w:t>）</w:t>
      </w:r>
      <w:r>
        <w:rPr>
          <w:rFonts w:hint="eastAsia" w:ascii="宋体" w:hAnsi="宋体"/>
          <w:spacing w:val="10"/>
          <w:kern w:val="24"/>
          <w:sz w:val="21"/>
          <w:szCs w:val="21"/>
        </w:rPr>
        <w:t>。</w:t>
      </w:r>
    </w:p>
    <w:p w14:paraId="00C3A94C">
      <w:pPr>
        <w:spacing w:line="360" w:lineRule="auto"/>
        <w:ind w:firstLine="460" w:firstLineChars="200"/>
        <w:jc w:val="both"/>
        <w:rPr>
          <w:rFonts w:hint="eastAsia" w:ascii="宋体" w:hAnsi="宋体"/>
          <w:spacing w:val="10"/>
          <w:kern w:val="24"/>
          <w:sz w:val="21"/>
          <w:szCs w:val="21"/>
        </w:rPr>
      </w:pPr>
      <w:r>
        <w:rPr>
          <w:rFonts w:hint="eastAsia" w:ascii="宋体" w:hAnsi="宋体"/>
          <w:spacing w:val="10"/>
          <w:kern w:val="24"/>
          <w:sz w:val="21"/>
          <w:szCs w:val="21"/>
        </w:rPr>
        <w:t>2、投标保证金缴纳方式：详见招标文件；</w:t>
      </w:r>
    </w:p>
    <w:p w14:paraId="6D427C15">
      <w:pPr>
        <w:spacing w:line="360" w:lineRule="auto"/>
        <w:ind w:firstLine="422" w:firstLineChars="200"/>
        <w:jc w:val="both"/>
        <w:rPr>
          <w:rFonts w:hint="eastAsia" w:ascii="宋体" w:hAnsi="宋体"/>
          <w:b/>
          <w:color w:val="000000"/>
          <w:sz w:val="21"/>
          <w:szCs w:val="21"/>
        </w:rPr>
      </w:pPr>
      <w:r>
        <w:rPr>
          <w:rFonts w:hint="eastAsia" w:ascii="宋体" w:hAnsi="宋体"/>
          <w:b/>
          <w:color w:val="000000"/>
          <w:sz w:val="21"/>
          <w:szCs w:val="21"/>
        </w:rPr>
        <w:t>五、投标截止时间及地点：</w:t>
      </w:r>
    </w:p>
    <w:p w14:paraId="2A9F29AB">
      <w:pPr>
        <w:spacing w:line="360" w:lineRule="auto"/>
        <w:ind w:firstLine="422" w:firstLineChars="200"/>
        <w:jc w:val="both"/>
        <w:rPr>
          <w:rFonts w:hint="eastAsia" w:ascii="宋体" w:hAnsi="宋体"/>
          <w:b/>
          <w:color w:val="000000"/>
          <w:sz w:val="21"/>
          <w:szCs w:val="21"/>
        </w:rPr>
      </w:pPr>
      <w:r>
        <w:rPr>
          <w:rFonts w:hint="eastAsia" w:ascii="宋体" w:hAnsi="宋体"/>
          <w:b/>
          <w:color w:val="000000"/>
          <w:sz w:val="21"/>
          <w:szCs w:val="21"/>
        </w:rPr>
        <w:t>1.时间（同开标时间）：2025年12月</w:t>
      </w:r>
      <w:r>
        <w:rPr>
          <w:rFonts w:hint="eastAsia" w:ascii="宋体" w:hAnsi="宋体"/>
          <w:b/>
          <w:color w:val="000000"/>
          <w:sz w:val="21"/>
          <w:szCs w:val="21"/>
          <w:lang w:val="en-US" w:eastAsia="zh-CN"/>
        </w:rPr>
        <w:t>26</w:t>
      </w:r>
      <w:r>
        <w:rPr>
          <w:rFonts w:hint="eastAsia" w:ascii="宋体" w:hAnsi="宋体"/>
          <w:b/>
          <w:color w:val="000000"/>
          <w:sz w:val="21"/>
          <w:szCs w:val="21"/>
        </w:rPr>
        <w:t>日上午9：30；</w:t>
      </w:r>
    </w:p>
    <w:p w14:paraId="370E43B0">
      <w:pPr>
        <w:spacing w:line="360" w:lineRule="auto"/>
        <w:ind w:firstLine="422" w:firstLineChars="200"/>
        <w:jc w:val="both"/>
        <w:rPr>
          <w:rFonts w:hint="eastAsia" w:ascii="宋体" w:hAnsi="宋体"/>
          <w:color w:val="000000"/>
          <w:sz w:val="21"/>
          <w:szCs w:val="21"/>
        </w:rPr>
      </w:pPr>
      <w:r>
        <w:rPr>
          <w:rFonts w:hint="eastAsia" w:ascii="宋体" w:hAnsi="宋体"/>
          <w:b/>
          <w:color w:val="000000"/>
          <w:sz w:val="21"/>
          <w:szCs w:val="21"/>
        </w:rPr>
        <w:t>2.地点（同开标地点）：郑州市惠济区英才街13号</w:t>
      </w:r>
      <w:r>
        <w:rPr>
          <w:rFonts w:hint="eastAsia" w:ascii="宋体" w:hAnsi="宋体"/>
          <w:color w:val="000000"/>
          <w:sz w:val="21"/>
          <w:szCs w:val="21"/>
        </w:rPr>
        <w:t>（具体以开标前电话及邮件通知为准）。</w:t>
      </w:r>
    </w:p>
    <w:p w14:paraId="3947841D">
      <w:pPr>
        <w:spacing w:line="360" w:lineRule="auto"/>
        <w:ind w:firstLine="420" w:firstLineChars="200"/>
        <w:jc w:val="both"/>
      </w:pPr>
      <w:r>
        <w:rPr>
          <w:rFonts w:hint="eastAsia" w:ascii="宋体" w:hAnsi="宋体"/>
          <w:color w:val="000000"/>
          <w:sz w:val="21"/>
          <w:szCs w:val="21"/>
        </w:rPr>
        <w:t>注：所有投标人的法定代表人或法定代表人委托代理人必须准时参加，否则所递交的投标文件将被视为无效投标文件予以退回。</w:t>
      </w:r>
    </w:p>
    <w:p w14:paraId="07A429D3">
      <w:pPr>
        <w:spacing w:line="360" w:lineRule="auto"/>
        <w:ind w:firstLine="422" w:firstLineChars="200"/>
        <w:jc w:val="both"/>
        <w:rPr>
          <w:rFonts w:hint="eastAsia" w:ascii="宋体" w:hAnsi="宋体"/>
          <w:b/>
          <w:sz w:val="21"/>
          <w:szCs w:val="21"/>
        </w:rPr>
      </w:pPr>
      <w:r>
        <w:rPr>
          <w:rFonts w:hint="eastAsia" w:ascii="宋体" w:hAnsi="宋体"/>
          <w:b/>
          <w:sz w:val="21"/>
          <w:szCs w:val="21"/>
        </w:rPr>
        <w:t>六、凡对本次招标提出询问，请按照以下方式联系：</w:t>
      </w:r>
    </w:p>
    <w:p w14:paraId="3FE53C99">
      <w:pPr>
        <w:spacing w:line="360" w:lineRule="auto"/>
        <w:ind w:firstLine="422" w:firstLineChars="200"/>
        <w:jc w:val="both"/>
        <w:rPr>
          <w:rFonts w:hint="eastAsia" w:ascii="宋体" w:hAnsi="宋体"/>
          <w:b/>
          <w:sz w:val="21"/>
          <w:szCs w:val="21"/>
        </w:rPr>
      </w:pPr>
      <w:r>
        <w:rPr>
          <w:rFonts w:hint="eastAsia" w:ascii="宋体" w:hAnsi="宋体"/>
          <w:b/>
          <w:sz w:val="21"/>
          <w:szCs w:val="21"/>
        </w:rPr>
        <w:t>1.思念食品招标部</w:t>
      </w:r>
    </w:p>
    <w:p w14:paraId="58529538">
      <w:pPr>
        <w:spacing w:line="360" w:lineRule="auto"/>
        <w:ind w:firstLine="422" w:firstLineChars="200"/>
        <w:jc w:val="both"/>
        <w:rPr>
          <w:rFonts w:hint="eastAsia" w:ascii="宋体" w:hAnsi="宋体"/>
          <w:b/>
          <w:sz w:val="21"/>
          <w:szCs w:val="21"/>
        </w:rPr>
      </w:pPr>
      <w:r>
        <w:rPr>
          <w:rFonts w:hint="eastAsia" w:ascii="宋体" w:hAnsi="宋体"/>
          <w:b/>
          <w:sz w:val="21"/>
          <w:szCs w:val="21"/>
        </w:rPr>
        <w:t>联系人：秦为齐</w:t>
      </w:r>
    </w:p>
    <w:p w14:paraId="733364CD">
      <w:pPr>
        <w:spacing w:line="360" w:lineRule="auto"/>
        <w:ind w:firstLine="422" w:firstLineChars="200"/>
        <w:jc w:val="both"/>
        <w:rPr>
          <w:rFonts w:hint="eastAsia" w:ascii="宋体" w:hAnsi="宋体"/>
          <w:b/>
          <w:sz w:val="21"/>
          <w:szCs w:val="21"/>
        </w:rPr>
      </w:pPr>
      <w:r>
        <w:rPr>
          <w:rFonts w:hint="eastAsia" w:ascii="宋体" w:hAnsi="宋体"/>
          <w:b/>
          <w:sz w:val="21"/>
          <w:szCs w:val="21"/>
        </w:rPr>
        <w:t>联系方式：18239979660</w:t>
      </w:r>
    </w:p>
    <w:p w14:paraId="15AEF60D">
      <w:pPr>
        <w:spacing w:line="360" w:lineRule="auto"/>
        <w:ind w:firstLine="422" w:firstLineChars="200"/>
        <w:jc w:val="both"/>
        <w:rPr>
          <w:rFonts w:hint="eastAsia" w:ascii="宋体" w:hAnsi="宋体"/>
          <w:b/>
          <w:sz w:val="21"/>
          <w:szCs w:val="21"/>
        </w:rPr>
      </w:pPr>
      <w:r>
        <w:rPr>
          <w:rFonts w:hint="eastAsia" w:ascii="宋体" w:hAnsi="宋体"/>
          <w:b/>
          <w:sz w:val="21"/>
          <w:szCs w:val="21"/>
        </w:rPr>
        <w:t>邮箱：</w:t>
      </w:r>
      <w:r>
        <w:rPr>
          <w:rFonts w:ascii="宋体" w:hAnsi="宋体"/>
          <w:b/>
          <w:sz w:val="21"/>
          <w:szCs w:val="21"/>
        </w:rPr>
        <w:t>qinweiqi@synear.com</w:t>
      </w:r>
    </w:p>
    <w:p w14:paraId="742201A6">
      <w:pPr>
        <w:numPr>
          <w:ilvl w:val="0"/>
          <w:numId w:val="4"/>
        </w:numPr>
        <w:spacing w:line="360" w:lineRule="auto"/>
        <w:ind w:firstLine="422" w:firstLineChars="200"/>
        <w:jc w:val="both"/>
        <w:rPr>
          <w:rFonts w:hint="eastAsia" w:ascii="宋体" w:hAnsi="宋体" w:cs="宋体"/>
          <w:b/>
          <w:sz w:val="21"/>
          <w:szCs w:val="21"/>
        </w:rPr>
      </w:pPr>
      <w:r>
        <w:rPr>
          <w:rFonts w:hint="eastAsia" w:ascii="宋体" w:hAnsi="宋体"/>
          <w:b/>
          <w:sz w:val="21"/>
          <w:szCs w:val="21"/>
        </w:rPr>
        <w:t>项目现场勘察或答疑联系人：</w:t>
      </w:r>
    </w:p>
    <w:p w14:paraId="57A62E98">
      <w:pPr>
        <w:spacing w:line="360" w:lineRule="auto"/>
        <w:jc w:val="both"/>
        <w:rPr>
          <w:rFonts w:hint="default" w:ascii="宋体" w:hAnsi="宋体" w:eastAsia="宋体" w:cs="宋体"/>
          <w:b/>
          <w:sz w:val="21"/>
          <w:szCs w:val="21"/>
          <w:lang w:val="en-US" w:eastAsia="zh-CN"/>
        </w:rPr>
      </w:pPr>
      <w:r>
        <w:rPr>
          <w:rFonts w:hint="eastAsia" w:ascii="宋体" w:hAnsi="宋体"/>
          <w:b/>
          <w:sz w:val="21"/>
          <w:szCs w:val="21"/>
        </w:rPr>
        <w:t xml:space="preserve">    联系人：</w:t>
      </w:r>
      <w:r>
        <w:rPr>
          <w:rFonts w:hint="eastAsia" w:ascii="宋体" w:hAnsi="宋体"/>
          <w:b/>
          <w:sz w:val="21"/>
          <w:szCs w:val="21"/>
          <w:lang w:val="en-US" w:eastAsia="zh-CN"/>
        </w:rPr>
        <w:t>陈德营</w:t>
      </w:r>
    </w:p>
    <w:p w14:paraId="1D566FA3">
      <w:pPr>
        <w:spacing w:line="360" w:lineRule="auto"/>
        <w:ind w:firstLine="422" w:firstLineChars="200"/>
        <w:jc w:val="both"/>
        <w:textAlignment w:val="bottom"/>
        <w:rPr>
          <w:rFonts w:hint="eastAsia" w:ascii="宋体" w:hAnsi="宋体"/>
          <w:b/>
          <w:sz w:val="21"/>
          <w:szCs w:val="21"/>
        </w:rPr>
      </w:pPr>
      <w:r>
        <w:rPr>
          <w:rFonts w:hint="eastAsia" w:ascii="宋体" w:hAnsi="宋体"/>
          <w:b/>
          <w:sz w:val="21"/>
          <w:szCs w:val="21"/>
        </w:rPr>
        <w:t>联系方式：17740409776</w:t>
      </w:r>
    </w:p>
    <w:p w14:paraId="180581B4">
      <w:pPr>
        <w:spacing w:line="360" w:lineRule="auto"/>
        <w:ind w:firstLine="422" w:firstLineChars="200"/>
        <w:jc w:val="both"/>
        <w:textAlignment w:val="bottom"/>
        <w:rPr>
          <w:rFonts w:hint="eastAsia" w:ascii="宋体" w:hAnsi="宋体"/>
          <w:b/>
          <w:sz w:val="21"/>
          <w:szCs w:val="21"/>
        </w:rPr>
      </w:pPr>
      <w:r>
        <w:rPr>
          <w:rFonts w:hint="eastAsia" w:ascii="宋体" w:hAnsi="宋体"/>
          <w:b/>
          <w:sz w:val="21"/>
          <w:szCs w:val="21"/>
        </w:rPr>
        <w:t>七、评标办法：</w:t>
      </w:r>
    </w:p>
    <w:p w14:paraId="264DA6CA">
      <w:pPr>
        <w:spacing w:line="360" w:lineRule="auto"/>
        <w:ind w:firstLine="422" w:firstLineChars="200"/>
        <w:jc w:val="both"/>
        <w:textAlignment w:val="bottom"/>
        <w:rPr>
          <w:rFonts w:hint="eastAsia" w:ascii="宋体" w:hAnsi="宋体"/>
          <w:b/>
          <w:sz w:val="21"/>
          <w:szCs w:val="21"/>
        </w:rPr>
      </w:pPr>
      <w:r>
        <w:rPr>
          <w:rFonts w:hint="eastAsia" w:ascii="宋体" w:hAnsi="宋体"/>
          <w:b/>
          <w:sz w:val="21"/>
          <w:szCs w:val="21"/>
        </w:rPr>
        <w:t>针对本项目具体情况，采用综合原则进行定标，即满足我司招标技术要求的前提下，对各投标单位的投标报价及所承诺的服务等综合评定后确定中标候选人。</w:t>
      </w:r>
    </w:p>
    <w:p w14:paraId="0C046967">
      <w:pPr>
        <w:spacing w:line="360" w:lineRule="auto"/>
        <w:ind w:firstLine="422" w:firstLineChars="200"/>
        <w:jc w:val="both"/>
        <w:textAlignment w:val="bottom"/>
        <w:rPr>
          <w:rFonts w:hint="eastAsia" w:ascii="宋体" w:hAnsi="宋体"/>
          <w:b/>
          <w:sz w:val="21"/>
          <w:szCs w:val="21"/>
        </w:rPr>
      </w:pPr>
    </w:p>
    <w:p w14:paraId="204C5BFA">
      <w:pPr>
        <w:pStyle w:val="2"/>
        <w:numPr>
          <w:ilvl w:val="0"/>
          <w:numId w:val="0"/>
        </w:numPr>
        <w:spacing w:before="120" w:beforeLines="50" w:line="360" w:lineRule="auto"/>
        <w:rPr>
          <w:rFonts w:ascii="宋体" w:eastAsia="宋体"/>
          <w:b/>
          <w:bCs/>
          <w:sz w:val="24"/>
          <w:szCs w:val="24"/>
        </w:rPr>
      </w:pPr>
      <w:bookmarkStart w:id="8" w:name="_Toc25446"/>
      <w:r>
        <w:rPr>
          <w:rFonts w:hint="eastAsia" w:ascii="宋体" w:eastAsia="宋体"/>
          <w:b/>
          <w:bCs/>
          <w:sz w:val="24"/>
          <w:szCs w:val="24"/>
        </w:rPr>
        <w:t>第二章  投标单位须知</w:t>
      </w:r>
      <w:bookmarkEnd w:id="8"/>
    </w:p>
    <w:p w14:paraId="2C714B35">
      <w:pPr>
        <w:spacing w:line="360" w:lineRule="auto"/>
        <w:ind w:firstLine="420" w:firstLineChars="200"/>
        <w:jc w:val="both"/>
        <w:rPr>
          <w:rFonts w:hint="eastAsia" w:ascii="宋体" w:hAnsi="宋体"/>
          <w:sz w:val="21"/>
          <w:szCs w:val="21"/>
        </w:rPr>
      </w:pPr>
      <w:r>
        <w:rPr>
          <w:rFonts w:hint="eastAsia" w:ascii="宋体" w:hAnsi="宋体"/>
          <w:sz w:val="21"/>
          <w:szCs w:val="21"/>
        </w:rPr>
        <w:t>1、投标文件编制及装订要求：</w:t>
      </w:r>
    </w:p>
    <w:p w14:paraId="115EEB60">
      <w:pPr>
        <w:spacing w:line="360" w:lineRule="auto"/>
        <w:ind w:firstLine="422" w:firstLineChars="200"/>
        <w:jc w:val="both"/>
        <w:rPr>
          <w:rFonts w:hint="eastAsia" w:ascii="宋体" w:hAnsi="宋体"/>
          <w:b/>
          <w:bCs/>
          <w:sz w:val="21"/>
          <w:szCs w:val="21"/>
        </w:rPr>
      </w:pPr>
      <w:r>
        <w:rPr>
          <w:rFonts w:hint="eastAsia" w:ascii="宋体" w:hAnsi="宋体"/>
          <w:b/>
          <w:bCs/>
          <w:sz w:val="21"/>
          <w:szCs w:val="21"/>
        </w:rPr>
        <w:t>1.1投标文件要求一正两副，正本和副本的封面上应清楚地标记“正本”或“副本”的字样。当副本和正本不一致时，以正本为准。投标人应将所有投标的正本和所有副本分别密封。(报价单与技术标分开装订)</w:t>
      </w:r>
    </w:p>
    <w:p w14:paraId="0178816B">
      <w:pPr>
        <w:spacing w:line="360" w:lineRule="auto"/>
        <w:ind w:firstLine="420" w:firstLineChars="200"/>
        <w:jc w:val="both"/>
        <w:rPr>
          <w:rFonts w:hint="eastAsia" w:ascii="宋体" w:hAnsi="宋体"/>
          <w:sz w:val="21"/>
          <w:szCs w:val="21"/>
        </w:rPr>
      </w:pPr>
      <w:r>
        <w:rPr>
          <w:rFonts w:hint="eastAsia" w:ascii="宋体" w:hAnsi="宋体"/>
          <w:sz w:val="21"/>
          <w:szCs w:val="21"/>
        </w:rPr>
        <w:t>1.2投标文件不要求逐页小签，按招标文件要求签字或盖章。投标文件应用不褪色的材料书写或打印，并由投标人的法定代表人或其委托代理人签字或盖单位章，投标文件封面、投标函均应加盖投标人印章并经法定代表人或其委托代理人签字或盖章。由委托代理人签字或盖章的在投标文件中须同时提交投标文件签署授权委托书。委托代理人签字的，投标文 件应附法定代表人签署的授权委托书，投标文件签署授权委托书格式、签字、盖章及内容均应符合要求，否则投标文件签署授权委托书无效。投标文件应尽量避免涂改、行间插字或删除。如果出现上述情况，改动之处应加盖单位章或由投标人的法定代表人或其授权的代理人签字确认。</w:t>
      </w:r>
    </w:p>
    <w:p w14:paraId="07099A8D">
      <w:pPr>
        <w:spacing w:line="360" w:lineRule="auto"/>
        <w:ind w:firstLine="420" w:firstLineChars="200"/>
        <w:jc w:val="both"/>
        <w:rPr>
          <w:rFonts w:hint="eastAsia" w:ascii="宋体" w:hAnsi="宋体"/>
          <w:sz w:val="21"/>
          <w:szCs w:val="21"/>
        </w:rPr>
      </w:pPr>
      <w:r>
        <w:rPr>
          <w:rFonts w:hint="eastAsia" w:ascii="宋体" w:hAnsi="宋体"/>
          <w:sz w:val="21"/>
          <w:szCs w:val="21"/>
        </w:rPr>
        <w:t>2、投标文件中提供企业简介或企业基本情况一览表。</w:t>
      </w:r>
    </w:p>
    <w:p w14:paraId="167ABAF0">
      <w:pPr>
        <w:spacing w:line="360" w:lineRule="auto"/>
        <w:ind w:firstLine="420" w:firstLineChars="200"/>
        <w:jc w:val="both"/>
        <w:rPr>
          <w:rFonts w:hint="eastAsia" w:ascii="宋体" w:hAnsi="宋体"/>
          <w:b/>
          <w:bCs/>
          <w:color w:val="000000"/>
          <w:sz w:val="21"/>
          <w:szCs w:val="21"/>
        </w:rPr>
      </w:pPr>
      <w:r>
        <w:rPr>
          <w:rFonts w:hint="eastAsia" w:ascii="宋体" w:hAnsi="宋体"/>
          <w:sz w:val="21"/>
          <w:szCs w:val="21"/>
        </w:rPr>
        <w:t>3、资质文件：投标文件中必须包括企业营业执照、税务登记证、组织机构代码证（或三证合一）</w:t>
      </w:r>
      <w:r>
        <w:rPr>
          <w:rFonts w:hint="eastAsia" w:ascii="宋体" w:hAnsi="宋体"/>
          <w:color w:val="000000"/>
          <w:sz w:val="21"/>
          <w:szCs w:val="21"/>
        </w:rPr>
        <w:t>，资质证书等资料，投标现场提供原件备查。</w:t>
      </w:r>
      <w:r>
        <w:rPr>
          <w:rFonts w:hint="eastAsia" w:ascii="宋体" w:hAnsi="宋体"/>
          <w:b/>
          <w:bCs/>
          <w:color w:val="000000"/>
          <w:sz w:val="21"/>
          <w:szCs w:val="21"/>
        </w:rPr>
        <w:t>（对应招标公告中资质要求）</w:t>
      </w:r>
    </w:p>
    <w:p w14:paraId="7D625280">
      <w:pPr>
        <w:spacing w:line="360" w:lineRule="auto"/>
        <w:ind w:firstLine="420" w:firstLineChars="200"/>
        <w:jc w:val="both"/>
        <w:rPr>
          <w:rFonts w:hint="eastAsia" w:ascii="宋体" w:hAnsi="宋体"/>
          <w:color w:val="000000"/>
          <w:sz w:val="21"/>
          <w:szCs w:val="21"/>
        </w:rPr>
      </w:pPr>
      <w:r>
        <w:rPr>
          <w:rFonts w:hint="eastAsia" w:ascii="宋体" w:hAnsi="宋体"/>
          <w:color w:val="000000"/>
          <w:sz w:val="21"/>
          <w:szCs w:val="21"/>
        </w:rPr>
        <w:t>4、业绩一览表：</w:t>
      </w:r>
    </w:p>
    <w:p w14:paraId="400401BB">
      <w:pPr>
        <w:spacing w:line="360" w:lineRule="auto"/>
        <w:ind w:firstLine="420" w:firstLineChars="200"/>
        <w:jc w:val="both"/>
        <w:rPr>
          <w:rFonts w:hint="eastAsia" w:ascii="宋体" w:hAnsi="宋体"/>
          <w:color w:val="000000"/>
          <w:sz w:val="21"/>
          <w:szCs w:val="21"/>
        </w:rPr>
      </w:pPr>
      <w:r>
        <w:rPr>
          <w:rFonts w:hint="eastAsia" w:ascii="宋体" w:hAnsi="宋体"/>
          <w:color w:val="000000"/>
          <w:sz w:val="21"/>
          <w:szCs w:val="21"/>
        </w:rPr>
        <w:t>投标文件中必须包括业绩一览表及类似项目合同复印件。投标文件中需列出近三年以来类似项目情况介绍。</w:t>
      </w:r>
    </w:p>
    <w:p w14:paraId="74C34383">
      <w:pPr>
        <w:spacing w:line="360" w:lineRule="auto"/>
        <w:ind w:firstLine="420" w:firstLineChars="200"/>
        <w:jc w:val="both"/>
        <w:rPr>
          <w:rFonts w:hint="eastAsia" w:ascii="宋体" w:hAnsi="宋体"/>
          <w:sz w:val="21"/>
          <w:szCs w:val="21"/>
        </w:rPr>
      </w:pPr>
      <w:r>
        <w:rPr>
          <w:rFonts w:hint="eastAsia" w:ascii="宋体" w:hAnsi="宋体"/>
          <w:bCs/>
          <w:color w:val="000000"/>
          <w:sz w:val="21"/>
          <w:szCs w:val="21"/>
        </w:rPr>
        <w:t>5</w:t>
      </w:r>
      <w:r>
        <w:rPr>
          <w:rFonts w:hint="eastAsia" w:ascii="宋体" w:hAnsi="宋体"/>
          <w:bCs/>
          <w:sz w:val="21"/>
          <w:szCs w:val="21"/>
        </w:rPr>
        <w:t>、</w:t>
      </w:r>
      <w:r>
        <w:rPr>
          <w:rFonts w:hint="eastAsia" w:ascii="宋体" w:hAnsi="宋体"/>
          <w:sz w:val="21"/>
          <w:szCs w:val="21"/>
        </w:rPr>
        <w:t>投标方同意在从开标之日起90天的投标有效期内严格遵守本投标书的各项承诺。期限届满之前，投标文件始终对投标方具有约束力。</w:t>
      </w:r>
    </w:p>
    <w:p w14:paraId="0201FDF7">
      <w:pPr>
        <w:spacing w:line="360" w:lineRule="auto"/>
        <w:ind w:firstLine="420" w:firstLineChars="200"/>
        <w:jc w:val="both"/>
        <w:rPr>
          <w:rFonts w:hint="eastAsia" w:ascii="宋体" w:hAnsi="宋体"/>
          <w:sz w:val="21"/>
          <w:szCs w:val="21"/>
        </w:rPr>
      </w:pPr>
      <w:r>
        <w:rPr>
          <w:rFonts w:hint="eastAsia" w:ascii="宋体" w:hAnsi="宋体"/>
          <w:sz w:val="21"/>
          <w:szCs w:val="21"/>
        </w:rPr>
        <w:t>6、投标方如中标，投标公司及任何关联公司在合同履约过程中不得直接或间接给予招标人（含其任何高级职员、董事、股东、代表或代理人等）任何佣金、款项、货款、贵重礼品、回扣、奢华的娱乐或其他有价值的物品。否则，投标方即构成严重违约。</w:t>
      </w:r>
    </w:p>
    <w:p w14:paraId="2178AC7F">
      <w:pPr>
        <w:spacing w:line="360" w:lineRule="auto"/>
        <w:ind w:firstLine="420" w:firstLineChars="200"/>
        <w:jc w:val="both"/>
        <w:rPr>
          <w:rFonts w:hint="eastAsia" w:ascii="宋体" w:hAnsi="宋体"/>
          <w:sz w:val="21"/>
          <w:szCs w:val="21"/>
        </w:rPr>
      </w:pPr>
      <w:r>
        <w:rPr>
          <w:rFonts w:hint="eastAsia" w:ascii="宋体" w:hAnsi="宋体"/>
          <w:sz w:val="21"/>
          <w:szCs w:val="21"/>
        </w:rPr>
        <w:t>7、投标人出现以下情况，招标人有权扣除投标人投标保证金：</w:t>
      </w:r>
    </w:p>
    <w:p w14:paraId="2D7E4DB8">
      <w:pPr>
        <w:numPr>
          <w:ilvl w:val="0"/>
          <w:numId w:val="5"/>
        </w:numPr>
        <w:spacing w:line="360" w:lineRule="auto"/>
        <w:ind w:left="0" w:firstLine="420" w:firstLineChars="200"/>
        <w:jc w:val="both"/>
        <w:rPr>
          <w:rFonts w:hint="eastAsia" w:ascii="宋体" w:hAnsi="宋体"/>
          <w:sz w:val="21"/>
          <w:szCs w:val="21"/>
        </w:rPr>
      </w:pPr>
      <w:r>
        <w:rPr>
          <w:rFonts w:hint="eastAsia" w:ascii="宋体" w:hAnsi="宋体"/>
          <w:sz w:val="21"/>
          <w:szCs w:val="21"/>
        </w:rPr>
        <w:t>围标、串标。</w:t>
      </w:r>
    </w:p>
    <w:p w14:paraId="6178648F">
      <w:pPr>
        <w:numPr>
          <w:ilvl w:val="0"/>
          <w:numId w:val="5"/>
        </w:numPr>
        <w:spacing w:line="360" w:lineRule="auto"/>
        <w:ind w:left="0" w:firstLine="420" w:firstLineChars="200"/>
        <w:jc w:val="both"/>
        <w:rPr>
          <w:rFonts w:hint="eastAsia" w:ascii="宋体" w:hAnsi="宋体"/>
          <w:sz w:val="21"/>
          <w:szCs w:val="21"/>
        </w:rPr>
      </w:pPr>
      <w:r>
        <w:rPr>
          <w:rFonts w:hint="eastAsia" w:ascii="宋体" w:hAnsi="宋体"/>
          <w:sz w:val="21"/>
          <w:szCs w:val="21"/>
        </w:rPr>
        <w:t>不履行投标承诺或者中标不履行。</w:t>
      </w:r>
    </w:p>
    <w:p w14:paraId="62B69E2F">
      <w:pPr>
        <w:numPr>
          <w:ilvl w:val="0"/>
          <w:numId w:val="5"/>
        </w:numPr>
        <w:spacing w:line="360" w:lineRule="auto"/>
        <w:ind w:left="0" w:firstLine="420" w:firstLineChars="200"/>
        <w:jc w:val="both"/>
        <w:rPr>
          <w:rFonts w:hint="eastAsia" w:ascii="宋体" w:hAnsi="宋体"/>
          <w:sz w:val="21"/>
          <w:szCs w:val="21"/>
        </w:rPr>
      </w:pPr>
      <w:r>
        <w:rPr>
          <w:rFonts w:hint="eastAsia" w:ascii="宋体" w:hAnsi="宋体"/>
          <w:sz w:val="21"/>
          <w:szCs w:val="21"/>
        </w:rPr>
        <w:t>伪造证明、证书、合同等相关证件。</w:t>
      </w:r>
    </w:p>
    <w:p w14:paraId="12DF61EB">
      <w:pPr>
        <w:numPr>
          <w:ilvl w:val="0"/>
          <w:numId w:val="5"/>
        </w:numPr>
        <w:spacing w:line="360" w:lineRule="auto"/>
        <w:ind w:left="0" w:firstLine="422" w:firstLineChars="200"/>
        <w:jc w:val="both"/>
        <w:rPr>
          <w:rFonts w:hint="eastAsia" w:ascii="宋体" w:hAnsi="宋体"/>
          <w:b/>
          <w:bCs/>
          <w:sz w:val="21"/>
          <w:szCs w:val="21"/>
        </w:rPr>
      </w:pPr>
      <w:r>
        <w:rPr>
          <w:rFonts w:hint="eastAsia" w:ascii="宋体" w:hAnsi="宋体"/>
          <w:b/>
          <w:bCs/>
          <w:sz w:val="21"/>
          <w:szCs w:val="21"/>
        </w:rPr>
        <w:t>自通知中标结果之日起7个工作日内，拒不签署相关合同/拒不履行相关中标业务/未经甲方允许私自转包项目/未经甲方允许私自更换甲方确认过的相关项目团队人员等；</w:t>
      </w:r>
    </w:p>
    <w:p w14:paraId="1EBC3CFB">
      <w:pPr>
        <w:numPr>
          <w:ilvl w:val="0"/>
          <w:numId w:val="5"/>
        </w:numPr>
        <w:spacing w:line="360" w:lineRule="auto"/>
        <w:ind w:left="0" w:firstLine="420" w:firstLineChars="200"/>
        <w:jc w:val="both"/>
        <w:rPr>
          <w:rFonts w:hint="eastAsia" w:ascii="宋体" w:hAnsi="宋体"/>
          <w:sz w:val="21"/>
          <w:szCs w:val="21"/>
        </w:rPr>
      </w:pPr>
      <w:r>
        <w:rPr>
          <w:rFonts w:hint="eastAsia" w:ascii="宋体" w:hAnsi="宋体"/>
          <w:sz w:val="21"/>
          <w:szCs w:val="21"/>
        </w:rPr>
        <w:t>其他违反本次招标书约定要求。</w:t>
      </w:r>
    </w:p>
    <w:p w14:paraId="367C1D09">
      <w:pPr>
        <w:spacing w:line="360" w:lineRule="auto"/>
        <w:ind w:firstLine="420" w:firstLineChars="200"/>
        <w:jc w:val="both"/>
        <w:rPr>
          <w:rFonts w:hint="eastAsia" w:ascii="宋体" w:hAnsi="宋体"/>
          <w:sz w:val="21"/>
          <w:szCs w:val="21"/>
        </w:rPr>
      </w:pPr>
      <w:r>
        <w:rPr>
          <w:rFonts w:hint="eastAsia" w:ascii="宋体" w:hAnsi="宋体"/>
          <w:sz w:val="21"/>
          <w:szCs w:val="21"/>
        </w:rPr>
        <w:t>8、投标方认可招标方的评标程序及原则。</w:t>
      </w:r>
    </w:p>
    <w:p w14:paraId="5272B06B">
      <w:pPr>
        <w:spacing w:line="360" w:lineRule="auto"/>
        <w:ind w:firstLine="420" w:firstLineChars="200"/>
        <w:jc w:val="both"/>
        <w:rPr>
          <w:rFonts w:hint="eastAsia" w:ascii="宋体" w:hAnsi="宋体"/>
          <w:sz w:val="21"/>
          <w:szCs w:val="21"/>
        </w:rPr>
      </w:pPr>
      <w:r>
        <w:rPr>
          <w:rFonts w:hint="eastAsia" w:ascii="宋体" w:hAnsi="宋体"/>
          <w:sz w:val="21"/>
          <w:szCs w:val="21"/>
        </w:rPr>
        <w:t>9、投标方接受招标方以电话通知中标结果的方式。</w:t>
      </w:r>
    </w:p>
    <w:p w14:paraId="14E6E406">
      <w:pPr>
        <w:spacing w:line="360" w:lineRule="auto"/>
        <w:ind w:firstLine="420" w:firstLineChars="200"/>
        <w:jc w:val="both"/>
        <w:rPr>
          <w:rFonts w:hint="eastAsia" w:ascii="宋体" w:hAnsi="宋体"/>
          <w:sz w:val="21"/>
          <w:szCs w:val="21"/>
        </w:rPr>
      </w:pPr>
      <w:r>
        <w:rPr>
          <w:rFonts w:hint="eastAsia" w:ascii="宋体" w:hAnsi="宋体"/>
          <w:sz w:val="21"/>
          <w:szCs w:val="21"/>
        </w:rPr>
        <w:t>10、招标方不向中标方、落标方解释中标及落标原因，不退还投标文件。</w:t>
      </w:r>
    </w:p>
    <w:p w14:paraId="78C663E9">
      <w:pPr>
        <w:spacing w:line="360" w:lineRule="auto"/>
        <w:ind w:firstLine="420" w:firstLineChars="200"/>
        <w:jc w:val="both"/>
        <w:rPr>
          <w:rFonts w:hint="eastAsia" w:ascii="宋体" w:hAnsi="宋体"/>
          <w:sz w:val="21"/>
          <w:szCs w:val="21"/>
        </w:rPr>
      </w:pPr>
      <w:r>
        <w:rPr>
          <w:rFonts w:hint="eastAsia" w:ascii="宋体" w:hAnsi="宋体"/>
          <w:sz w:val="21"/>
          <w:szCs w:val="21"/>
        </w:rPr>
        <w:t>11、在开标、评标期间，投标方不得向评委询问评标情况，不得进行旨在影响评标结果的活动。投标单位如果在招标过程中存在违反我公司招标纪律的行为，经审计部核实后，对该投标单位实行永久市场禁入的处罚。</w:t>
      </w:r>
    </w:p>
    <w:p w14:paraId="6DF3E883">
      <w:pPr>
        <w:spacing w:line="360" w:lineRule="auto"/>
        <w:ind w:firstLine="420" w:firstLineChars="200"/>
        <w:jc w:val="both"/>
        <w:rPr>
          <w:rFonts w:hint="eastAsia" w:ascii="宋体" w:hAnsi="宋体"/>
          <w:sz w:val="21"/>
          <w:szCs w:val="21"/>
        </w:rPr>
      </w:pPr>
      <w:r>
        <w:rPr>
          <w:rFonts w:hint="eastAsia" w:ascii="宋体" w:hAnsi="宋体"/>
          <w:sz w:val="21"/>
          <w:szCs w:val="21"/>
        </w:rPr>
        <w:t>12、评标委员会经评审认为所有投标都不符合招标文件要求的，有权否决所有投标，招标方对受影响的投标方不承担任何责任，也无义务向受影响的投标方作出解释。</w:t>
      </w:r>
    </w:p>
    <w:p w14:paraId="412BE7FE">
      <w:pPr>
        <w:spacing w:line="360" w:lineRule="auto"/>
        <w:ind w:firstLine="420" w:firstLineChars="200"/>
        <w:jc w:val="both"/>
        <w:rPr>
          <w:rFonts w:hint="eastAsia" w:ascii="宋体" w:hAnsi="宋体"/>
          <w:sz w:val="21"/>
          <w:szCs w:val="21"/>
        </w:rPr>
      </w:pPr>
      <w:r>
        <w:rPr>
          <w:rFonts w:hint="eastAsia" w:ascii="宋体" w:hAnsi="宋体"/>
          <w:sz w:val="21"/>
          <w:szCs w:val="21"/>
        </w:rPr>
        <w:t>13、投标时间截止后不再接收投标，视为投标单位放弃投标资格。</w:t>
      </w:r>
    </w:p>
    <w:p w14:paraId="4C6FE599">
      <w:pPr>
        <w:spacing w:line="360" w:lineRule="auto"/>
        <w:ind w:firstLine="420" w:firstLineChars="200"/>
        <w:jc w:val="both"/>
        <w:rPr>
          <w:rFonts w:hint="eastAsia" w:ascii="宋体" w:hAnsi="宋体"/>
          <w:sz w:val="21"/>
          <w:szCs w:val="21"/>
        </w:rPr>
      </w:pPr>
      <w:r>
        <w:rPr>
          <w:rFonts w:hint="eastAsia" w:ascii="宋体" w:hAnsi="宋体"/>
          <w:sz w:val="21"/>
          <w:szCs w:val="21"/>
        </w:rPr>
        <w:t>14、投标人不得相互串通投标或者与招标人串通投标，不得向招标人或者评标委员会成员行贿谋取中标，不得以他人名义投标或者以其他方式弄虚作假骗取中标；投标人不得以任何方式干扰、影响评标工作。</w:t>
      </w:r>
      <w:bookmarkStart w:id="9" w:name="_Toc364407827"/>
    </w:p>
    <w:p w14:paraId="7BC7EEC1">
      <w:pPr>
        <w:spacing w:line="360" w:lineRule="auto"/>
        <w:ind w:firstLine="420" w:firstLineChars="200"/>
        <w:jc w:val="both"/>
        <w:rPr>
          <w:rFonts w:hint="eastAsia" w:ascii="宋体" w:hAnsi="宋体"/>
          <w:sz w:val="21"/>
          <w:szCs w:val="21"/>
        </w:rPr>
      </w:pPr>
      <w:r>
        <w:rPr>
          <w:rFonts w:hint="eastAsia" w:ascii="宋体" w:hAnsi="宋体"/>
          <w:sz w:val="21"/>
          <w:szCs w:val="21"/>
        </w:rPr>
        <w:t>15、招标文件</w:t>
      </w:r>
    </w:p>
    <w:p w14:paraId="401F4997">
      <w:pPr>
        <w:spacing w:line="360" w:lineRule="auto"/>
        <w:ind w:firstLine="420" w:firstLineChars="200"/>
        <w:jc w:val="both"/>
        <w:rPr>
          <w:rFonts w:hint="eastAsia" w:ascii="宋体" w:hAnsi="宋体"/>
          <w:sz w:val="21"/>
          <w:szCs w:val="21"/>
        </w:rPr>
      </w:pPr>
      <w:r>
        <w:rPr>
          <w:rFonts w:hint="eastAsia" w:ascii="宋体" w:hAnsi="宋体"/>
          <w:sz w:val="21"/>
          <w:szCs w:val="21"/>
        </w:rPr>
        <w:t>招标文件包括本标书目录所列章节内容及其附件，投标人应请仔细检查招标文件及图纸资料是否齐全，如有缺漏，请立即与招标人联系解决。</w:t>
      </w:r>
    </w:p>
    <w:p w14:paraId="0B56F9DB">
      <w:pPr>
        <w:spacing w:line="360" w:lineRule="auto"/>
        <w:ind w:firstLine="420" w:firstLineChars="200"/>
        <w:jc w:val="both"/>
        <w:rPr>
          <w:rFonts w:hint="eastAsia" w:ascii="宋体" w:hAnsi="宋体"/>
          <w:sz w:val="21"/>
          <w:szCs w:val="21"/>
        </w:rPr>
      </w:pPr>
      <w:r>
        <w:rPr>
          <w:rFonts w:hint="eastAsia" w:ascii="宋体" w:hAnsi="宋体"/>
          <w:sz w:val="21"/>
          <w:szCs w:val="21"/>
        </w:rPr>
        <w:t>投标单位应仔细阅读招标文件，并在投标书中充分反映招标文件的所有要求。不按招标文件的要求提供的投标文件和资料，则被视为无效标而导致投标被拒绝。</w:t>
      </w:r>
    </w:p>
    <w:p w14:paraId="22BBEB6D">
      <w:pPr>
        <w:spacing w:line="360" w:lineRule="auto"/>
        <w:ind w:firstLine="420" w:firstLineChars="200"/>
        <w:jc w:val="both"/>
        <w:rPr>
          <w:rFonts w:hint="eastAsia" w:ascii="宋体" w:hAnsi="宋体"/>
          <w:sz w:val="21"/>
          <w:szCs w:val="21"/>
        </w:rPr>
      </w:pPr>
      <w:r>
        <w:rPr>
          <w:rFonts w:hint="eastAsia" w:ascii="宋体" w:hAnsi="宋体"/>
          <w:sz w:val="21"/>
          <w:szCs w:val="21"/>
        </w:rPr>
        <w:t>投标人获取招标文件后，应仔细检查招标文件的所有内容，如有残缺问题应在获得招标文件3天内及时向招标人提出并更换，否则由此引起的后果由投标人自己承担。</w:t>
      </w:r>
    </w:p>
    <w:p w14:paraId="1E43762A">
      <w:pPr>
        <w:spacing w:line="360" w:lineRule="auto"/>
        <w:ind w:firstLine="420" w:firstLineChars="200"/>
        <w:jc w:val="both"/>
        <w:rPr>
          <w:rFonts w:hint="eastAsia" w:ascii="宋体" w:hAnsi="宋体"/>
          <w:sz w:val="21"/>
          <w:szCs w:val="21"/>
        </w:rPr>
      </w:pPr>
      <w:r>
        <w:rPr>
          <w:rFonts w:hint="eastAsia" w:ascii="宋体" w:hAnsi="宋体"/>
          <w:sz w:val="21"/>
          <w:szCs w:val="21"/>
        </w:rPr>
        <w:t>投标人应认真审阅招标文件中所有条款内容、图纸资料等，并对自己就有关文件所做出的结论负责。</w:t>
      </w:r>
    </w:p>
    <w:p w14:paraId="1D18DA43">
      <w:pPr>
        <w:spacing w:line="360" w:lineRule="auto"/>
        <w:ind w:firstLine="420" w:firstLineChars="200"/>
        <w:jc w:val="both"/>
        <w:rPr>
          <w:rFonts w:hint="eastAsia" w:ascii="宋体" w:hAnsi="宋体"/>
          <w:sz w:val="21"/>
          <w:szCs w:val="21"/>
        </w:rPr>
      </w:pPr>
      <w:r>
        <w:rPr>
          <w:rFonts w:hint="eastAsia" w:ascii="宋体" w:hAnsi="宋体"/>
          <w:sz w:val="21"/>
          <w:szCs w:val="21"/>
        </w:rPr>
        <w:t>16、投标文件的审查</w:t>
      </w:r>
    </w:p>
    <w:p w14:paraId="5D7A0E3C">
      <w:pPr>
        <w:spacing w:line="360" w:lineRule="auto"/>
        <w:ind w:firstLine="420" w:firstLineChars="200"/>
        <w:jc w:val="both"/>
        <w:rPr>
          <w:rFonts w:hint="eastAsia" w:ascii="宋体" w:hAnsi="宋体"/>
          <w:sz w:val="21"/>
          <w:szCs w:val="21"/>
        </w:rPr>
      </w:pPr>
      <w:r>
        <w:rPr>
          <w:rFonts w:hint="eastAsia" w:ascii="宋体" w:hAnsi="宋体"/>
          <w:sz w:val="21"/>
          <w:szCs w:val="21"/>
        </w:rPr>
        <w:t>文字与图表不符，以文字为准。</w:t>
      </w:r>
    </w:p>
    <w:p w14:paraId="2E810218">
      <w:pPr>
        <w:spacing w:line="360" w:lineRule="auto"/>
        <w:ind w:firstLine="420" w:firstLineChars="200"/>
        <w:jc w:val="both"/>
        <w:rPr>
          <w:rFonts w:hint="eastAsia" w:ascii="宋体" w:hAnsi="宋体"/>
          <w:sz w:val="21"/>
          <w:szCs w:val="21"/>
        </w:rPr>
      </w:pPr>
      <w:r>
        <w:rPr>
          <w:rFonts w:hint="eastAsia" w:ascii="宋体" w:hAnsi="宋体"/>
          <w:sz w:val="21"/>
          <w:szCs w:val="21"/>
        </w:rPr>
        <w:t>单价与总价不符，以单价为准。</w:t>
      </w:r>
    </w:p>
    <w:p w14:paraId="263A1495">
      <w:pPr>
        <w:spacing w:line="360" w:lineRule="auto"/>
        <w:ind w:firstLine="420" w:firstLineChars="200"/>
        <w:jc w:val="both"/>
        <w:rPr>
          <w:rFonts w:hint="eastAsia" w:ascii="宋体" w:hAnsi="宋体"/>
          <w:sz w:val="21"/>
          <w:szCs w:val="21"/>
        </w:rPr>
      </w:pPr>
      <w:r>
        <w:rPr>
          <w:rFonts w:hint="eastAsia" w:ascii="宋体" w:hAnsi="宋体"/>
          <w:sz w:val="21"/>
          <w:szCs w:val="21"/>
        </w:rPr>
        <w:t>大写与小写不符，以大写为准。</w:t>
      </w:r>
    </w:p>
    <w:p w14:paraId="1D346502">
      <w:pPr>
        <w:spacing w:line="360" w:lineRule="auto"/>
        <w:ind w:firstLine="420" w:firstLineChars="200"/>
        <w:jc w:val="both"/>
        <w:rPr>
          <w:rFonts w:hint="eastAsia" w:ascii="宋体" w:hAnsi="宋体"/>
          <w:sz w:val="21"/>
          <w:szCs w:val="21"/>
        </w:rPr>
      </w:pPr>
      <w:r>
        <w:rPr>
          <w:rFonts w:hint="eastAsia" w:ascii="宋体" w:hAnsi="宋体"/>
          <w:sz w:val="21"/>
          <w:szCs w:val="21"/>
        </w:rPr>
        <w:t>正本与副本不符，以正本为准。</w:t>
      </w:r>
    </w:p>
    <w:p w14:paraId="7E13BF23">
      <w:pPr>
        <w:spacing w:line="360" w:lineRule="auto"/>
        <w:ind w:firstLine="420" w:firstLineChars="200"/>
        <w:jc w:val="both"/>
        <w:rPr>
          <w:rFonts w:hint="eastAsia" w:ascii="宋体" w:hAnsi="宋体"/>
          <w:sz w:val="21"/>
          <w:szCs w:val="21"/>
        </w:rPr>
      </w:pPr>
      <w:r>
        <w:rPr>
          <w:rFonts w:hint="eastAsia" w:ascii="宋体" w:hAnsi="宋体"/>
          <w:sz w:val="21"/>
          <w:szCs w:val="21"/>
        </w:rPr>
        <w:t>投标文件是否符合招标文件的要求。</w:t>
      </w:r>
    </w:p>
    <w:p w14:paraId="56989182">
      <w:pPr>
        <w:numPr>
          <w:ilvl w:val="0"/>
          <w:numId w:val="6"/>
        </w:numPr>
        <w:spacing w:line="360" w:lineRule="auto"/>
        <w:ind w:firstLine="420" w:firstLineChars="200"/>
        <w:jc w:val="both"/>
        <w:rPr>
          <w:rFonts w:hint="eastAsia" w:ascii="宋体" w:hAnsi="宋体"/>
          <w:sz w:val="21"/>
          <w:szCs w:val="21"/>
        </w:rPr>
      </w:pPr>
      <w:r>
        <w:rPr>
          <w:rFonts w:hint="eastAsia" w:ascii="宋体" w:hAnsi="宋体"/>
          <w:sz w:val="21"/>
          <w:szCs w:val="21"/>
        </w:rPr>
        <w:t>无效标书的确认</w:t>
      </w:r>
    </w:p>
    <w:p w14:paraId="3613025E">
      <w:pPr>
        <w:spacing w:line="360" w:lineRule="auto"/>
        <w:ind w:firstLine="420" w:firstLineChars="200"/>
        <w:jc w:val="both"/>
        <w:rPr>
          <w:rFonts w:hint="eastAsia" w:ascii="宋体" w:hAnsi="宋体"/>
          <w:sz w:val="21"/>
          <w:szCs w:val="21"/>
        </w:rPr>
      </w:pPr>
      <w:r>
        <w:rPr>
          <w:rFonts w:hint="eastAsia" w:ascii="宋体" w:hAnsi="宋体"/>
          <w:sz w:val="21"/>
          <w:szCs w:val="21"/>
        </w:rPr>
        <w:t>投标人有下列情况之一者，所投标书无效：</w:t>
      </w:r>
    </w:p>
    <w:p w14:paraId="124E9755">
      <w:pPr>
        <w:numPr>
          <w:ilvl w:val="0"/>
          <w:numId w:val="7"/>
        </w:numPr>
        <w:spacing w:line="360" w:lineRule="auto"/>
        <w:ind w:left="0" w:firstLine="420" w:firstLineChars="200"/>
        <w:jc w:val="both"/>
        <w:rPr>
          <w:rFonts w:hint="eastAsia" w:ascii="宋体" w:hAnsi="宋体"/>
          <w:sz w:val="21"/>
          <w:szCs w:val="21"/>
        </w:rPr>
      </w:pPr>
      <w:r>
        <w:rPr>
          <w:rFonts w:hint="eastAsia" w:ascii="宋体" w:hAnsi="宋体"/>
          <w:sz w:val="21"/>
          <w:szCs w:val="21"/>
        </w:rPr>
        <w:t>投标书未密封的；</w:t>
      </w:r>
    </w:p>
    <w:p w14:paraId="6C1060C8">
      <w:pPr>
        <w:numPr>
          <w:ilvl w:val="0"/>
          <w:numId w:val="7"/>
        </w:numPr>
        <w:spacing w:line="360" w:lineRule="auto"/>
        <w:ind w:left="0" w:firstLine="420" w:firstLineChars="200"/>
        <w:jc w:val="both"/>
        <w:rPr>
          <w:rFonts w:hint="eastAsia" w:ascii="宋体" w:hAnsi="宋体"/>
          <w:sz w:val="21"/>
          <w:szCs w:val="21"/>
        </w:rPr>
      </w:pPr>
      <w:r>
        <w:rPr>
          <w:rFonts w:hint="eastAsia" w:ascii="宋体" w:hAnsi="宋体"/>
          <w:sz w:val="21"/>
          <w:szCs w:val="21"/>
        </w:rPr>
        <w:t>投标书未按规定加盖投标单位公章（或合同章）的；</w:t>
      </w:r>
    </w:p>
    <w:p w14:paraId="4B5DCEBE">
      <w:pPr>
        <w:numPr>
          <w:ilvl w:val="0"/>
          <w:numId w:val="7"/>
        </w:numPr>
        <w:spacing w:line="360" w:lineRule="auto"/>
        <w:ind w:left="0" w:firstLine="420" w:firstLineChars="200"/>
        <w:jc w:val="both"/>
        <w:rPr>
          <w:rFonts w:hint="eastAsia" w:ascii="宋体" w:hAnsi="宋体"/>
          <w:sz w:val="21"/>
          <w:szCs w:val="21"/>
        </w:rPr>
      </w:pPr>
      <w:r>
        <w:rPr>
          <w:rFonts w:hint="eastAsia" w:ascii="宋体" w:hAnsi="宋体"/>
          <w:sz w:val="21"/>
          <w:szCs w:val="21"/>
        </w:rPr>
        <w:t>投标单位法定代表人或其代理人资料未按规定加盖公章（或签字）的；</w:t>
      </w:r>
    </w:p>
    <w:p w14:paraId="68D1330D">
      <w:pPr>
        <w:numPr>
          <w:ilvl w:val="0"/>
          <w:numId w:val="7"/>
        </w:numPr>
        <w:spacing w:line="360" w:lineRule="auto"/>
        <w:ind w:left="0" w:firstLine="420" w:firstLineChars="200"/>
        <w:jc w:val="both"/>
        <w:rPr>
          <w:rFonts w:hint="eastAsia" w:ascii="宋体" w:hAnsi="宋体"/>
          <w:sz w:val="21"/>
          <w:szCs w:val="21"/>
        </w:rPr>
      </w:pPr>
      <w:r>
        <w:rPr>
          <w:rFonts w:hint="eastAsia" w:ascii="宋体" w:hAnsi="宋体"/>
          <w:sz w:val="21"/>
          <w:szCs w:val="21"/>
        </w:rPr>
        <w:t>投标书未按规定的格式，内容和要求填写的；</w:t>
      </w:r>
    </w:p>
    <w:p w14:paraId="3CA0665F">
      <w:pPr>
        <w:numPr>
          <w:ilvl w:val="0"/>
          <w:numId w:val="7"/>
        </w:numPr>
        <w:spacing w:line="360" w:lineRule="auto"/>
        <w:ind w:left="0" w:firstLine="420" w:firstLineChars="200"/>
        <w:jc w:val="both"/>
        <w:rPr>
          <w:rFonts w:hint="eastAsia" w:ascii="宋体" w:hAnsi="宋体"/>
          <w:sz w:val="21"/>
          <w:szCs w:val="21"/>
        </w:rPr>
      </w:pPr>
      <w:r>
        <w:rPr>
          <w:rFonts w:hint="eastAsia" w:ascii="宋体" w:hAnsi="宋体"/>
          <w:sz w:val="21"/>
          <w:szCs w:val="21"/>
        </w:rPr>
        <w:t>投标书书写潦草，字迹模糊不清，无法辨认的；</w:t>
      </w:r>
    </w:p>
    <w:p w14:paraId="70840C85">
      <w:pPr>
        <w:numPr>
          <w:ilvl w:val="0"/>
          <w:numId w:val="7"/>
        </w:numPr>
        <w:spacing w:line="360" w:lineRule="auto"/>
        <w:ind w:left="0" w:firstLine="420" w:firstLineChars="200"/>
        <w:jc w:val="both"/>
        <w:rPr>
          <w:rFonts w:hint="eastAsia" w:ascii="宋体" w:hAnsi="宋体"/>
          <w:sz w:val="21"/>
          <w:szCs w:val="21"/>
        </w:rPr>
      </w:pPr>
      <w:r>
        <w:rPr>
          <w:rFonts w:hint="eastAsia" w:ascii="宋体" w:hAnsi="宋体"/>
          <w:sz w:val="21"/>
          <w:szCs w:val="21"/>
        </w:rPr>
        <w:t>投标书内容不全或自相矛盾的；</w:t>
      </w:r>
    </w:p>
    <w:p w14:paraId="14E14B7F">
      <w:pPr>
        <w:numPr>
          <w:ilvl w:val="0"/>
          <w:numId w:val="7"/>
        </w:numPr>
        <w:spacing w:line="360" w:lineRule="auto"/>
        <w:ind w:left="0" w:firstLine="420" w:firstLineChars="200"/>
        <w:jc w:val="both"/>
        <w:rPr>
          <w:rFonts w:hint="eastAsia" w:ascii="宋体" w:hAnsi="宋体"/>
          <w:sz w:val="21"/>
          <w:szCs w:val="21"/>
        </w:rPr>
      </w:pPr>
      <w:r>
        <w:rPr>
          <w:rFonts w:hint="eastAsia" w:ascii="宋体" w:hAnsi="宋体"/>
          <w:sz w:val="21"/>
          <w:szCs w:val="21"/>
        </w:rPr>
        <w:t>同一项目有多个投标报价、且未声明以哪一个为准的；</w:t>
      </w:r>
    </w:p>
    <w:p w14:paraId="221A004F">
      <w:pPr>
        <w:numPr>
          <w:ilvl w:val="0"/>
          <w:numId w:val="7"/>
        </w:numPr>
        <w:spacing w:line="360" w:lineRule="auto"/>
        <w:ind w:left="0" w:firstLine="420" w:firstLineChars="200"/>
        <w:jc w:val="both"/>
        <w:rPr>
          <w:rFonts w:hint="eastAsia" w:ascii="宋体" w:hAnsi="宋体"/>
          <w:sz w:val="21"/>
          <w:szCs w:val="21"/>
        </w:rPr>
      </w:pPr>
      <w:r>
        <w:rPr>
          <w:rFonts w:hint="eastAsia" w:ascii="宋体" w:hAnsi="宋体"/>
          <w:sz w:val="21"/>
          <w:szCs w:val="21"/>
        </w:rPr>
        <w:t>投标书超过规定期限送达的；</w:t>
      </w:r>
    </w:p>
    <w:p w14:paraId="5A8AA0E0">
      <w:pPr>
        <w:numPr>
          <w:ilvl w:val="0"/>
          <w:numId w:val="7"/>
        </w:numPr>
        <w:spacing w:line="360" w:lineRule="auto"/>
        <w:ind w:left="0" w:firstLine="420" w:firstLineChars="200"/>
        <w:jc w:val="both"/>
        <w:rPr>
          <w:rFonts w:hint="eastAsia" w:ascii="宋体" w:hAnsi="宋体"/>
          <w:sz w:val="21"/>
          <w:szCs w:val="21"/>
        </w:rPr>
      </w:pPr>
      <w:r>
        <w:rPr>
          <w:rFonts w:hint="eastAsia" w:ascii="宋体" w:hAnsi="宋体"/>
          <w:sz w:val="21"/>
          <w:szCs w:val="21"/>
        </w:rPr>
        <w:t>投标人未准时参加开标会议的；</w:t>
      </w:r>
    </w:p>
    <w:p w14:paraId="134AAAD6">
      <w:pPr>
        <w:numPr>
          <w:ilvl w:val="0"/>
          <w:numId w:val="7"/>
        </w:numPr>
        <w:spacing w:line="360" w:lineRule="auto"/>
        <w:ind w:left="0" w:firstLine="420" w:firstLineChars="200"/>
        <w:jc w:val="both"/>
        <w:rPr>
          <w:rFonts w:hint="eastAsia" w:ascii="宋体" w:hAnsi="宋体"/>
          <w:sz w:val="21"/>
          <w:szCs w:val="21"/>
        </w:rPr>
      </w:pPr>
      <w:r>
        <w:rPr>
          <w:rFonts w:hint="eastAsia" w:ascii="宋体" w:hAnsi="宋体"/>
          <w:sz w:val="21"/>
          <w:szCs w:val="21"/>
        </w:rPr>
        <w:t>未按规定交纳投标保证金的；</w:t>
      </w:r>
    </w:p>
    <w:p w14:paraId="32889814">
      <w:pPr>
        <w:numPr>
          <w:ilvl w:val="0"/>
          <w:numId w:val="7"/>
        </w:numPr>
        <w:spacing w:line="360" w:lineRule="auto"/>
        <w:ind w:left="0" w:firstLine="420" w:firstLineChars="200"/>
        <w:jc w:val="both"/>
        <w:rPr>
          <w:rFonts w:hint="eastAsia" w:ascii="宋体" w:hAnsi="宋体"/>
          <w:sz w:val="21"/>
          <w:szCs w:val="21"/>
        </w:rPr>
      </w:pPr>
      <w:r>
        <w:rPr>
          <w:rFonts w:hint="eastAsia" w:ascii="宋体" w:hAnsi="宋体"/>
          <w:sz w:val="21"/>
          <w:szCs w:val="21"/>
        </w:rPr>
        <w:t>恶意串通其他投标人，故意哄抬价格或压价，违反国家有关政策的；</w:t>
      </w:r>
    </w:p>
    <w:p w14:paraId="3D3F03EB">
      <w:pPr>
        <w:numPr>
          <w:ilvl w:val="0"/>
          <w:numId w:val="7"/>
        </w:numPr>
        <w:spacing w:line="360" w:lineRule="auto"/>
        <w:ind w:left="0" w:firstLine="422" w:firstLineChars="200"/>
        <w:jc w:val="both"/>
        <w:rPr>
          <w:rFonts w:hint="eastAsia" w:ascii="宋体" w:hAnsi="宋体"/>
          <w:sz w:val="21"/>
          <w:szCs w:val="21"/>
        </w:rPr>
      </w:pPr>
      <w:r>
        <w:rPr>
          <w:rFonts w:hint="eastAsia" w:ascii="宋体" w:hAnsi="宋体"/>
          <w:b/>
          <w:bCs/>
          <w:sz w:val="21"/>
          <w:szCs w:val="21"/>
        </w:rPr>
        <w:t>投标人的投标书未完全响应招标文件要求的；</w:t>
      </w:r>
    </w:p>
    <w:p w14:paraId="3586213E">
      <w:pPr>
        <w:numPr>
          <w:ilvl w:val="0"/>
          <w:numId w:val="7"/>
        </w:numPr>
        <w:spacing w:line="360" w:lineRule="auto"/>
        <w:ind w:left="0" w:firstLine="420" w:firstLineChars="200"/>
        <w:jc w:val="both"/>
        <w:rPr>
          <w:rFonts w:hint="eastAsia" w:ascii="宋体" w:hAnsi="宋体"/>
          <w:sz w:val="21"/>
          <w:szCs w:val="21"/>
        </w:rPr>
      </w:pPr>
      <w:r>
        <w:rPr>
          <w:rFonts w:hint="eastAsia" w:ascii="宋体" w:hAnsi="宋体"/>
          <w:sz w:val="21"/>
          <w:szCs w:val="21"/>
        </w:rPr>
        <w:t>投标单位不具备招标文件中规定资格要求的。</w:t>
      </w:r>
    </w:p>
    <w:bookmarkEnd w:id="9"/>
    <w:p w14:paraId="45707C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E1050">
    <w:pPr>
      <w:pStyle w:val="3"/>
      <w:spacing w:line="36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541C2">
    <w:pPr>
      <w:pStyle w:val="3"/>
      <w:spacing w:line="360" w:lineRule="auto"/>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D8042">
    <w:pPr>
      <w:pStyle w:val="4"/>
      <w:pBdr>
        <w:bottom w:val="single" w:color="auto" w:sz="6" w:space="13"/>
      </w:pBdr>
      <w:tabs>
        <w:tab w:val="center" w:pos="0"/>
        <w:tab w:val="clear" w:pos="4153"/>
      </w:tabs>
      <w:ind w:firstLine="810" w:firstLineChars="450"/>
      <w:jc w:val="both"/>
      <w:rPr>
        <w:sz w:val="24"/>
        <w:szCs w:val="24"/>
      </w:rPr>
    </w:pPr>
    <w:r>
      <w:drawing>
        <wp:anchor distT="0" distB="0" distL="114300" distR="114300" simplePos="0" relativeHeight="251691008" behindDoc="0" locked="0" layoutInCell="1" allowOverlap="1">
          <wp:simplePos x="0" y="0"/>
          <wp:positionH relativeFrom="column">
            <wp:posOffset>3810</wp:posOffset>
          </wp:positionH>
          <wp:positionV relativeFrom="paragraph">
            <wp:posOffset>-126365</wp:posOffset>
          </wp:positionV>
          <wp:extent cx="485775" cy="476250"/>
          <wp:effectExtent l="0" t="0" r="9525" b="0"/>
          <wp:wrapTight wrapText="bothSides">
            <wp:wrapPolygon>
              <wp:start x="0" y="0"/>
              <wp:lineTo x="0" y="20736"/>
              <wp:lineTo x="20471" y="20736"/>
              <wp:lineTo x="20471" y="0"/>
              <wp:lineTo x="0" y="0"/>
            </wp:wrapPolygon>
          </wp:wrapTight>
          <wp:docPr id="4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5"/>
                  <pic:cNvPicPr>
                    <a:picLocks noChangeAspect="1"/>
                  </pic:cNvPicPr>
                </pic:nvPicPr>
                <pic:blipFill>
                  <a:blip r:embed="rId1"/>
                  <a:stretch>
                    <a:fillRect/>
                  </a:stretch>
                </pic:blipFill>
                <pic:spPr>
                  <a:xfrm>
                    <a:off x="0" y="0"/>
                    <a:ext cx="485775" cy="476250"/>
                  </a:xfrm>
                  <a:prstGeom prst="rect">
                    <a:avLst/>
                  </a:prstGeom>
                  <a:noFill/>
                  <a:ln>
                    <a:noFill/>
                  </a:ln>
                </pic:spPr>
              </pic:pic>
            </a:graphicData>
          </a:graphic>
        </wp:anchor>
      </w:drawing>
    </w:r>
    <w:r>
      <w:rPr>
        <w:sz w:val="24"/>
        <w:szCs w:val="24"/>
      </w:rPr>
      <mc:AlternateContent>
        <mc:Choice Requires="wps">
          <w:drawing>
            <wp:anchor distT="0" distB="0" distL="114300" distR="114300" simplePos="0" relativeHeight="251674624" behindDoc="1" locked="0" layoutInCell="0" allowOverlap="1">
              <wp:simplePos x="0" y="0"/>
              <wp:positionH relativeFrom="margin">
                <wp:align>center</wp:align>
              </wp:positionH>
              <wp:positionV relativeFrom="margin">
                <wp:align>center</wp:align>
              </wp:positionV>
              <wp:extent cx="635" cy="0"/>
              <wp:effectExtent l="0" t="0" r="0" b="0"/>
              <wp:wrapNone/>
              <wp:docPr id="43" name="矩形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anchor>
          </w:drawing>
        </mc:Choice>
        <mc:Fallback>
          <w:pict>
            <v:rect id="_x0000_s1026" o:spid="_x0000_s1026" o:spt="1" style="position:absolute;left:0pt;height:0pt;width:0.05pt;mso-position-horizontal:center;mso-position-horizontal-relative:margin;mso-position-vertical:center;mso-position-vertical-relative:margin;z-index:-251641856;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Phwl/c8AAAD/AAAADwAAAAAA&#10;AAABACAAAAAiAAAAZHJzL2Rvd25yZXYueG1sUEsBAhQAFAAAAAgAh07iQHJkf+OqAQAAWwMAAA4A&#10;AAAAAAAAAQAgAAAAHgEAAGRycy9lMm9Eb2MueG1sUEsFBgAAAAAGAAYAWQEAADoFAAAAAA==&#10;">
              <v:fill on="f" focussize="0,0"/>
              <v:stroke on="f"/>
              <v:imagedata o:title=""/>
              <o:lock v:ext="edit" aspectratio="t"/>
            </v:rect>
          </w:pict>
        </mc:Fallback>
      </mc:AlternateContent>
    </w:r>
    <w:r>
      <w:rPr>
        <w:rFonts w:hint="eastAsia"/>
        <w:sz w:val="24"/>
        <w:szCs w:val="24"/>
      </w:rPr>
      <w:t>思念食品有限公司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0FCD0">
    <w:pPr>
      <w:pStyle w:val="4"/>
      <w:pBdr>
        <w:bottom w:val="none" w:color="auto" w:sz="0" w:space="0"/>
      </w:pBdr>
    </w:pPr>
    <w:r>
      <w:pict>
        <v:shape id="PowerPlusWaterMarkObject20" o:spid="_x0000_s4112" o:spt="136" type="#_x0000_t136" style="position:absolute;left:0pt;margin-left:-56.2pt;margin-top:0pt;height:15.8pt;width:102.65pt;rotation:-1310720f;z-index:-251640832;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21" o:spid="_x0000_s4113" o:spt="136" type="#_x0000_t136" style="position:absolute;left:0pt;margin-left:-56.2pt;margin-top:198.7pt;height:15.8pt;width:102.65pt;rotation:-1310720f;z-index:-251639808;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22" o:spid="_x0000_s4114" o:spt="136" type="#_x0000_t136" style="position:absolute;left:0pt;margin-left:-56.2pt;margin-top:397.45pt;height:15.8pt;width:102.65pt;rotation:-1310720f;z-index:-251638784;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23" o:spid="_x0000_s4115" o:spt="136" type="#_x0000_t136" style="position:absolute;left:0pt;margin-left:-56.2pt;margin-top:596.2pt;height:15.8pt;width:102.65pt;rotation:-1310720f;z-index:-251637760;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24" o:spid="_x0000_s4116" o:spt="136" type="#_x0000_t136" style="position:absolute;left:0pt;margin-left:-56.2pt;margin-top:794.95pt;height:15.8pt;width:102.65pt;rotation:-1310720f;z-index:-251636736;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25" o:spid="_x0000_s4117" o:spt="136" type="#_x0000_t136" style="position:absolute;left:0pt;margin-left:193.45pt;margin-top:0pt;height:15.8pt;width:102.65pt;rotation:-1310720f;z-index:-251635712;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26" o:spid="_x0000_s4118" o:spt="136" type="#_x0000_t136" style="position:absolute;left:0pt;margin-left:193.45pt;margin-top:198.7pt;height:15.8pt;width:102.65pt;rotation:-1310720f;z-index:-251634688;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27" o:spid="_x0000_s4119" o:spt="136" type="#_x0000_t136" style="position:absolute;left:0pt;margin-left:193.45pt;margin-top:397.45pt;height:15.8pt;width:102.65pt;rotation:-1310720f;z-index:-251633664;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28" o:spid="_x0000_s4120" o:spt="136" type="#_x0000_t136" style="position:absolute;left:0pt;margin-left:193.45pt;margin-top:596.2pt;height:15.8pt;width:102.65pt;rotation:-1310720f;z-index:-251632640;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29" o:spid="_x0000_s4121" o:spt="136" type="#_x0000_t136" style="position:absolute;left:0pt;margin-left:193.45pt;margin-top:794.95pt;height:15.8pt;width:102.65pt;rotation:-1310720f;z-index:-251631616;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30" o:spid="_x0000_s4122" o:spt="136" type="#_x0000_t136" style="position:absolute;left:0pt;margin-left:443.2pt;margin-top:0pt;height:15.8pt;width:102.65pt;rotation:-1310720f;z-index:-251630592;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31" o:spid="_x0000_s4123" o:spt="136" type="#_x0000_t136" style="position:absolute;left:0pt;margin-left:443.2pt;margin-top:198.7pt;height:15.8pt;width:102.65pt;rotation:-1310720f;z-index:-251629568;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32" o:spid="_x0000_s4124" o:spt="136" type="#_x0000_t136" style="position:absolute;left:0pt;margin-left:443.2pt;margin-top:397.45pt;height:15.8pt;width:102.65pt;rotation:-1310720f;z-index:-251628544;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33" o:spid="_x0000_s4125" o:spt="136" type="#_x0000_t136" style="position:absolute;left:0pt;margin-left:443.2pt;margin-top:596.2pt;height:15.8pt;width:102.65pt;rotation:-1310720f;z-index:-251627520;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34" o:spid="_x0000_s4126" o:spt="136" type="#_x0000_t136" style="position:absolute;left:0pt;margin-left:443.2pt;margin-top:794.95pt;height:15.8pt;width:102.65pt;rotation:-1310720f;z-index:-251626496;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66880">
    <w:pPr>
      <w:pStyle w:val="4"/>
      <w:pBdr>
        <w:bottom w:val="none" w:color="auto" w:sz="0" w:space="0"/>
      </w:pBdr>
    </w:pPr>
    <w:r>
      <w:pict>
        <v:shape id="PowerPlusWaterMarkObject35" o:spid="_x0000_s4097" o:spt="136" type="#_x0000_t136" style="position:absolute;left:0pt;margin-left:-56.2pt;margin-top:0pt;height:15.8pt;width:102.65pt;rotation:-1310720f;z-index:-251657216;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36" o:spid="_x0000_s4098" o:spt="136" type="#_x0000_t136" style="position:absolute;left:0pt;margin-left:-56.2pt;margin-top:198.7pt;height:15.8pt;width:102.65pt;rotation:-1310720f;z-index:-251656192;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37" o:spid="_x0000_s4099" o:spt="136" type="#_x0000_t136" style="position:absolute;left:0pt;margin-left:-56.2pt;margin-top:397.45pt;height:15.8pt;width:102.65pt;rotation:-1310720f;z-index:-251655168;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38" o:spid="_x0000_s4100" o:spt="136" type="#_x0000_t136" style="position:absolute;left:0pt;margin-left:-56.2pt;margin-top:596.2pt;height:15.8pt;width:102.65pt;rotation:-1310720f;z-index:-251654144;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39" o:spid="_x0000_s4101" o:spt="136" type="#_x0000_t136" style="position:absolute;left:0pt;margin-left:-56.2pt;margin-top:794.95pt;height:15.8pt;width:102.65pt;rotation:-1310720f;z-index:-251653120;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0" o:spid="_x0000_s4102" o:spt="136" type="#_x0000_t136" style="position:absolute;left:0pt;margin-left:193.45pt;margin-top:0pt;height:15.8pt;width:102.65pt;rotation:-1310720f;z-index:-251652096;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1" o:spid="_x0000_s4103" o:spt="136" type="#_x0000_t136" style="position:absolute;left:0pt;margin-left:193.45pt;margin-top:198.7pt;height:15.8pt;width:102.65pt;rotation:-1310720f;z-index:-251651072;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2" o:spid="_x0000_s4104" o:spt="136" type="#_x0000_t136" style="position:absolute;left:0pt;margin-left:193.45pt;margin-top:397.45pt;height:15.8pt;width:102.65pt;rotation:-1310720f;z-index:-251650048;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3" o:spid="_x0000_s4105" o:spt="136" type="#_x0000_t136" style="position:absolute;left:0pt;margin-left:193.45pt;margin-top:596.2pt;height:15.8pt;width:102.65pt;rotation:-1310720f;z-index:-251649024;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4" o:spid="_x0000_s4106" o:spt="136" type="#_x0000_t136" style="position:absolute;left:0pt;margin-left:193.45pt;margin-top:794.95pt;height:15.8pt;width:102.65pt;rotation:-1310720f;z-index:-251648000;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5" o:spid="_x0000_s4107" o:spt="136" type="#_x0000_t136" style="position:absolute;left:0pt;margin-left:443.2pt;margin-top:0pt;height:15.8pt;width:102.65pt;rotation:-1310720f;z-index:-251646976;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6" o:spid="_x0000_s4108" o:spt="136" type="#_x0000_t136" style="position:absolute;left:0pt;margin-left:443.2pt;margin-top:198.7pt;height:15.8pt;width:102.65pt;rotation:-1310720f;z-index:-251645952;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7" o:spid="_x0000_s4109" o:spt="136" type="#_x0000_t136" style="position:absolute;left:0pt;margin-left:443.2pt;margin-top:397.45pt;height:15.8pt;width:102.65pt;rotation:-1310720f;z-index:-251644928;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8" o:spid="_x0000_s4110" o:spt="136" type="#_x0000_t136" style="position:absolute;left:0pt;margin-left:443.2pt;margin-top:596.2pt;height:15.8pt;width:102.65pt;rotation:-1310720f;z-index:-251643904;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9" o:spid="_x0000_s4111" o:spt="136" type="#_x0000_t136" style="position:absolute;left:0pt;margin-left:443.2pt;margin-top:794.95pt;height:15.8pt;width:102.65pt;rotation:-1310720f;z-index:-251642880;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340050"/>
    <w:multiLevelType w:val="singleLevel"/>
    <w:tmpl w:val="B5340050"/>
    <w:lvl w:ilvl="0" w:tentative="0">
      <w:start w:val="5"/>
      <w:numFmt w:val="decimal"/>
      <w:suff w:val="nothing"/>
      <w:lvlText w:val="%1、"/>
      <w:lvlJc w:val="left"/>
    </w:lvl>
  </w:abstractNum>
  <w:abstractNum w:abstractNumId="1">
    <w:nsid w:val="B86B3D56"/>
    <w:multiLevelType w:val="singleLevel"/>
    <w:tmpl w:val="B86B3D56"/>
    <w:lvl w:ilvl="0" w:tentative="0">
      <w:start w:val="2"/>
      <w:numFmt w:val="decimal"/>
      <w:lvlText w:val="%1."/>
      <w:lvlJc w:val="left"/>
      <w:pPr>
        <w:tabs>
          <w:tab w:val="left" w:pos="312"/>
        </w:tabs>
      </w:pPr>
    </w:lvl>
  </w:abstractNum>
  <w:abstractNum w:abstractNumId="2">
    <w:nsid w:val="E5C5ED03"/>
    <w:multiLevelType w:val="singleLevel"/>
    <w:tmpl w:val="E5C5ED03"/>
    <w:lvl w:ilvl="0" w:tentative="0">
      <w:start w:val="1"/>
      <w:numFmt w:val="decimal"/>
      <w:lvlText w:val="(%1)"/>
      <w:lvlJc w:val="left"/>
      <w:pPr>
        <w:ind w:left="425" w:hanging="425"/>
      </w:pPr>
      <w:rPr>
        <w:rFonts w:hint="default"/>
      </w:rPr>
    </w:lvl>
  </w:abstractNum>
  <w:abstractNum w:abstractNumId="3">
    <w:nsid w:val="00000006"/>
    <w:multiLevelType w:val="multilevel"/>
    <w:tmpl w:val="00000006"/>
    <w:lvl w:ilvl="0" w:tentative="0">
      <w:start w:val="1"/>
      <w:numFmt w:val="none"/>
      <w:pStyle w:val="2"/>
      <w:lvlText w:val=""/>
      <w:lvlJc w:val="left"/>
      <w:pPr>
        <w:ind w:left="432" w:hanging="432"/>
      </w:pPr>
      <w:rPr>
        <w:rFonts w:hint="eastAsia"/>
      </w:rPr>
    </w:lvl>
    <w:lvl w:ilvl="1" w:tentative="0">
      <w:start w:val="1"/>
      <w:numFmt w:val="none"/>
      <w:lvlText w:val=" "/>
      <w:lvlJc w:val="left"/>
      <w:pPr>
        <w:ind w:left="576" w:hanging="576"/>
      </w:pPr>
      <w:rPr>
        <w:rFonts w:hint="eastAsia"/>
      </w:rPr>
    </w:lvl>
    <w:lvl w:ilvl="2" w:tentative="0">
      <w:start w:val="1"/>
      <w:numFmt w:val="none"/>
      <w:lvlText w:val=""/>
      <w:lvlJc w:val="left"/>
      <w:pPr>
        <w:ind w:left="720" w:hanging="720"/>
      </w:pPr>
      <w:rPr>
        <w:rFonts w:hint="eastAsia"/>
      </w:rPr>
    </w:lvl>
    <w:lvl w:ilvl="3" w:tentative="0">
      <w:start w:val="1"/>
      <w:numFmt w:val="none"/>
      <w:lvlText w:val="    "/>
      <w:lvlJc w:val="left"/>
      <w:pPr>
        <w:ind w:left="864" w:hanging="864"/>
      </w:pPr>
      <w:rPr>
        <w:rFonts w:hint="eastAsia"/>
      </w:rPr>
    </w:lvl>
    <w:lvl w:ilvl="4" w:tentative="0">
      <w:start w:val="1"/>
      <w:numFmt w:val="none"/>
      <w:lvlText w:val="      "/>
      <w:lvlJc w:val="left"/>
      <w:pPr>
        <w:ind w:left="1008" w:hanging="1008"/>
      </w:pPr>
      <w:rPr>
        <w:rFonts w:hint="eastAsia"/>
      </w:rPr>
    </w:lvl>
    <w:lvl w:ilvl="5" w:tentative="0">
      <w:start w:val="1"/>
      <w:numFmt w:val="none"/>
      <w:lvlText w:val="           "/>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4">
    <w:nsid w:val="06B7AA8F"/>
    <w:multiLevelType w:val="singleLevel"/>
    <w:tmpl w:val="06B7AA8F"/>
    <w:lvl w:ilvl="0" w:tentative="0">
      <w:start w:val="17"/>
      <w:numFmt w:val="decimal"/>
      <w:suff w:val="nothing"/>
      <w:lvlText w:val="%1、"/>
      <w:lvlJc w:val="left"/>
    </w:lvl>
  </w:abstractNum>
  <w:abstractNum w:abstractNumId="5">
    <w:nsid w:val="564DC07C"/>
    <w:multiLevelType w:val="singleLevel"/>
    <w:tmpl w:val="564DC07C"/>
    <w:lvl w:ilvl="0" w:tentative="0">
      <w:start w:val="3"/>
      <w:numFmt w:val="chineseCounting"/>
      <w:suff w:val="nothing"/>
      <w:lvlText w:val="%1、"/>
      <w:lvlJc w:val="left"/>
      <w:rPr>
        <w:rFonts w:hint="eastAsia"/>
      </w:rPr>
    </w:lvl>
  </w:abstractNum>
  <w:abstractNum w:abstractNumId="6">
    <w:nsid w:val="602B5BE0"/>
    <w:multiLevelType w:val="singleLevel"/>
    <w:tmpl w:val="602B5BE0"/>
    <w:lvl w:ilvl="0" w:tentative="0">
      <w:start w:val="1"/>
      <w:numFmt w:val="decimal"/>
      <w:lvlText w:val="(%1)"/>
      <w:lvlJc w:val="left"/>
      <w:pPr>
        <w:ind w:left="425" w:hanging="425"/>
      </w:pPr>
      <w:rPr>
        <w:rFonts w:hint="default"/>
      </w:rPr>
    </w:lvl>
  </w:abstractNum>
  <w:num w:numId="1">
    <w:abstractNumId w:val="3"/>
  </w:num>
  <w:num w:numId="2">
    <w:abstractNumId w:val="0"/>
  </w:num>
  <w:num w:numId="3">
    <w:abstractNumId w:val="5"/>
  </w:num>
  <w:num w:numId="4">
    <w:abstractNumId w:val="1"/>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747CB6"/>
    <w:rsid w:val="128114E4"/>
    <w:rsid w:val="4D1B4E15"/>
    <w:rsid w:val="59F03C00"/>
    <w:rsid w:val="71902ECE"/>
    <w:rsid w:val="79D66049"/>
    <w:rsid w:val="7EA71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numPr>
        <w:ilvl w:val="0"/>
        <w:numId w:val="1"/>
      </w:numPr>
      <w:jc w:val="center"/>
      <w:outlineLvl w:val="0"/>
    </w:pPr>
    <w:rPr>
      <w:rFonts w:ascii="黑体" w:eastAsia="黑体"/>
      <w:sz w:val="5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tabs>
        <w:tab w:val="right" w:leader="dot" w:pos="9628"/>
      </w:tabs>
      <w:spacing w:line="360" w:lineRule="auto"/>
      <w:ind w:firstLine="135" w:firstLineChars="135"/>
      <w:jc w:val="right"/>
    </w:pPr>
  </w:style>
  <w:style w:type="paragraph" w:styleId="6">
    <w:name w:val="toc 2"/>
    <w:basedOn w:val="1"/>
    <w:next w:val="1"/>
    <w:qFormat/>
    <w:uiPriority w:val="0"/>
    <w:pPr>
      <w:tabs>
        <w:tab w:val="right" w:leader="dot" w:pos="9628"/>
      </w:tabs>
      <w:spacing w:line="360" w:lineRule="auto"/>
      <w:ind w:firstLine="270" w:firstLineChars="270"/>
      <w:jc w:val="right"/>
    </w:pPr>
  </w:style>
  <w:style w:type="paragraph" w:customStyle="1" w:styleId="9">
    <w:name w:val="正文－华文中宋，小四"/>
    <w:basedOn w:val="1"/>
    <w:qFormat/>
    <w:uiPriority w:val="0"/>
    <w:pPr>
      <w:ind w:firstLine="233" w:firstLineChars="233"/>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4112"/>
    <customShpInfo spid="_x0000_s4113"/>
    <customShpInfo spid="_x0000_s4114"/>
    <customShpInfo spid="_x0000_s4115"/>
    <customShpInfo spid="_x0000_s4116"/>
    <customShpInfo spid="_x0000_s4117"/>
    <customShpInfo spid="_x0000_s4118"/>
    <customShpInfo spid="_x0000_s4119"/>
    <customShpInfo spid="_x0000_s4120"/>
    <customShpInfo spid="_x0000_s4121"/>
    <customShpInfo spid="_x0000_s4122"/>
    <customShpInfo spid="_x0000_s4123"/>
    <customShpInfo spid="_x0000_s4124"/>
    <customShpInfo spid="_x0000_s4125"/>
    <customShpInfo spid="_x0000_s4126"/>
    <customShpInfo spid="_x0000_s4097"/>
    <customShpInfo spid="_x0000_s4098" textRotate="1"/>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5401</Words>
  <Characters>5666</Characters>
  <Lines>0</Lines>
  <Paragraphs>0</Paragraphs>
  <TotalTime>0</TotalTime>
  <ScaleCrop>false</ScaleCrop>
  <LinksUpToDate>false</LinksUpToDate>
  <CharactersWithSpaces>5729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2025-12-19T01:56:00Z</dcterms:created>
  <dc:creator>CCL</dc:creator>
  <cp:lastModifiedBy>崔春丽</cp:lastModifiedBy>
  <dcterms:modified xsi:type="dcterms:W3CDTF">2025-12-19T02:00:28Z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eyJoZGlkIjoiYzc5YTNmNDAxZmYwYzcwYmQ5NDRjYzFjYTY2ZDExOWYiLCJ1c2VySWQiOiI3NDQ1MzM2ODYifQ==</vt:lpwstr>
  </property>
  <property fmtid="{D5CDD505-2E9C-101B-9397-08002B2CF9AE}" pid="4" name="ICV">
    <vt:lpwstr>FDD47AF4EC864D9FBF417EBAEF120AC8_12</vt:lpwstr>
  </property>
</Properties>
</file>