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A085">
      <w:pPr>
        <w:spacing w:line="360" w:lineRule="auto"/>
        <w:rPr>
          <w:rFonts w:ascii="宋体"/>
          <w:b/>
          <w:bCs/>
          <w:sz w:val="48"/>
        </w:rPr>
      </w:pPr>
      <w:bookmarkStart w:id="0" w:name="OLE_LINK4"/>
      <w:bookmarkStart w:id="1" w:name="OLE_LINK5"/>
    </w:p>
    <w:p w14:paraId="25670022">
      <w:pPr>
        <w:spacing w:line="360" w:lineRule="auto"/>
        <w:jc w:val="center"/>
        <w:rPr>
          <w:rFonts w:ascii="宋体"/>
          <w:b/>
          <w:bCs/>
          <w:sz w:val="48"/>
          <w:szCs w:val="48"/>
          <w:u w:val="single"/>
        </w:rPr>
      </w:pPr>
    </w:p>
    <w:p w14:paraId="3D31AF4F">
      <w:pPr>
        <w:spacing w:line="360" w:lineRule="auto"/>
        <w:jc w:val="center"/>
        <w:rPr>
          <w:rFonts w:ascii="宋体"/>
          <w:b/>
          <w:color w:val="000000"/>
          <w:sz w:val="48"/>
          <w:szCs w:val="48"/>
        </w:rPr>
      </w:pPr>
      <w:r>
        <w:rPr>
          <w:rFonts w:hint="eastAsia"/>
          <w:b/>
          <w:sz w:val="48"/>
          <w:szCs w:val="48"/>
        </w:rPr>
        <w:t>思念食品郑州、遂平、濮阳基地2026年度电力市场绿电交易项目招标</w:t>
      </w:r>
    </w:p>
    <w:p w14:paraId="361F3561">
      <w:pPr>
        <w:jc w:val="center"/>
        <w:rPr>
          <w:rFonts w:ascii="宋体"/>
          <w:sz w:val="72"/>
          <w:szCs w:val="72"/>
        </w:rPr>
      </w:pPr>
      <w:r>
        <w:rPr>
          <w:rFonts w:hint="eastAsia" w:ascii="宋体"/>
          <w:sz w:val="72"/>
          <w:szCs w:val="72"/>
        </w:rPr>
        <w:t>招标文件</w:t>
      </w:r>
    </w:p>
    <w:p w14:paraId="664FA640">
      <w:pPr>
        <w:jc w:val="center"/>
        <w:rPr>
          <w:rFonts w:ascii="宋体"/>
          <w:sz w:val="72"/>
          <w:szCs w:val="72"/>
        </w:rPr>
      </w:pPr>
    </w:p>
    <w:p w14:paraId="18A9C131">
      <w:pPr>
        <w:snapToGrid w:val="0"/>
        <w:spacing w:line="360" w:lineRule="auto"/>
        <w:jc w:val="center"/>
        <w:rPr>
          <w:rFonts w:hint="eastAsia" w:ascii="宋体" w:hAnsi="宋体" w:cs="宋体"/>
          <w:b/>
          <w:sz w:val="30"/>
          <w:szCs w:val="30"/>
          <w:u w:val="single"/>
        </w:rPr>
      </w:pPr>
      <w:r>
        <w:rPr>
          <w:rFonts w:hint="eastAsia" w:ascii="宋体" w:hAnsi="宋体" w:cs="宋体"/>
          <w:b/>
          <w:sz w:val="30"/>
          <w:szCs w:val="30"/>
        </w:rPr>
        <w:t>思念招标[2025</w:t>
      </w:r>
      <w:r>
        <w:rPr>
          <w:rFonts w:ascii="宋体" w:hAnsi="宋体" w:cs="宋体"/>
          <w:b/>
          <w:sz w:val="30"/>
          <w:szCs w:val="30"/>
        </w:rPr>
        <w:t>]第</w:t>
      </w:r>
      <w:r>
        <w:rPr>
          <w:rFonts w:hint="eastAsia" w:ascii="宋体" w:hAnsi="宋体" w:cs="宋体"/>
          <w:b/>
          <w:sz w:val="30"/>
          <w:szCs w:val="30"/>
          <w:lang w:val="en-US" w:eastAsia="zh-CN"/>
        </w:rPr>
        <w:t>60</w:t>
      </w:r>
      <w:r>
        <w:rPr>
          <w:rFonts w:ascii="宋体" w:hAnsi="宋体" w:cs="宋体"/>
          <w:b/>
          <w:sz w:val="30"/>
          <w:szCs w:val="30"/>
        </w:rPr>
        <w:t>号</w:t>
      </w:r>
    </w:p>
    <w:p w14:paraId="43652368">
      <w:pPr>
        <w:jc w:val="center"/>
        <w:rPr>
          <w:rFonts w:ascii="宋体"/>
          <w:color w:val="000000"/>
          <w:sz w:val="32"/>
        </w:rPr>
      </w:pPr>
    </w:p>
    <w:p w14:paraId="1A0C25E0">
      <w:pPr>
        <w:rPr>
          <w:rFonts w:ascii="宋体"/>
          <w:color w:val="000000"/>
          <w:sz w:val="32"/>
        </w:rPr>
      </w:pPr>
    </w:p>
    <w:p w14:paraId="5F15B4BA">
      <w:pPr>
        <w:rPr>
          <w:rFonts w:ascii="宋体"/>
          <w:color w:val="000000"/>
          <w:sz w:val="32"/>
        </w:rPr>
      </w:pPr>
    </w:p>
    <w:p w14:paraId="5EC31FCE">
      <w:pPr>
        <w:rPr>
          <w:rFonts w:ascii="宋体"/>
          <w:color w:val="000000"/>
          <w:sz w:val="32"/>
        </w:rPr>
      </w:pPr>
    </w:p>
    <w:p w14:paraId="7EA812AD">
      <w:pPr>
        <w:rPr>
          <w:rFonts w:ascii="宋体"/>
          <w:color w:val="000000"/>
          <w:sz w:val="32"/>
        </w:rPr>
      </w:pPr>
    </w:p>
    <w:p w14:paraId="10E165D2">
      <w:pPr>
        <w:rPr>
          <w:rFonts w:ascii="宋体"/>
          <w:color w:val="000000"/>
          <w:sz w:val="36"/>
          <w:szCs w:val="21"/>
        </w:rPr>
      </w:pPr>
    </w:p>
    <w:p w14:paraId="320BDD37">
      <w:pPr>
        <w:spacing w:line="360" w:lineRule="auto"/>
        <w:jc w:val="center"/>
        <w:rPr>
          <w:rFonts w:hint="eastAsia" w:ascii="宋体" w:hAnsi="宋体" w:cs="宋体"/>
          <w:b/>
          <w:sz w:val="32"/>
          <w:szCs w:val="32"/>
          <w:u w:val="single"/>
        </w:rPr>
      </w:pPr>
      <w:r>
        <w:rPr>
          <w:rFonts w:hint="eastAsia" w:ascii="宋体" w:hAnsi="宋体" w:cs="宋体"/>
          <w:b/>
          <w:color w:val="000000"/>
          <w:sz w:val="32"/>
          <w:szCs w:val="32"/>
        </w:rPr>
        <w:t>项目名称:</w:t>
      </w:r>
      <w:r>
        <w:rPr>
          <w:rFonts w:hint="eastAsia"/>
        </w:rPr>
        <w:t xml:space="preserve"> </w:t>
      </w:r>
      <w:r>
        <w:rPr>
          <w:rFonts w:hint="eastAsia" w:ascii="宋体" w:hAnsi="宋体" w:cs="宋体"/>
          <w:b/>
          <w:color w:val="000000"/>
          <w:sz w:val="32"/>
          <w:szCs w:val="32"/>
          <w:u w:val="single"/>
        </w:rPr>
        <w:t>思念食品郑州、遂平、濮阳基地2026年度电力市场绿电交易项目招标</w:t>
      </w:r>
    </w:p>
    <w:p w14:paraId="0C325C1A">
      <w:pPr>
        <w:snapToGrid w:val="0"/>
        <w:spacing w:line="360" w:lineRule="auto"/>
        <w:jc w:val="center"/>
        <w:rPr>
          <w:rFonts w:ascii="宋体"/>
          <w:b/>
          <w:sz w:val="30"/>
          <w:szCs w:val="30"/>
        </w:rPr>
      </w:pPr>
      <w:r>
        <w:rPr>
          <w:rFonts w:hint="eastAsia" w:ascii="宋体" w:hAnsi="宋体" w:cs="宋体"/>
          <w:b/>
          <w:color w:val="000000"/>
          <w:sz w:val="32"/>
          <w:szCs w:val="32"/>
        </w:rPr>
        <w:t>招 标 人:</w:t>
      </w:r>
      <w:r>
        <w:rPr>
          <w:rFonts w:hint="eastAsia" w:ascii="宋体" w:hAnsi="宋体" w:cs="宋体"/>
          <w:sz w:val="32"/>
          <w:szCs w:val="32"/>
        </w:rPr>
        <w:t xml:space="preserve"> </w:t>
      </w:r>
      <w:r>
        <w:rPr>
          <w:rFonts w:hint="eastAsia" w:ascii="宋体" w:hAnsi="宋体" w:cs="宋体"/>
          <w:b/>
          <w:bCs/>
          <w:sz w:val="32"/>
          <w:szCs w:val="32"/>
          <w:u w:val="single"/>
        </w:rPr>
        <w:t>思念食品有限公司</w:t>
      </w:r>
    </w:p>
    <w:p w14:paraId="0304121D">
      <w:pPr>
        <w:snapToGrid w:val="0"/>
        <w:spacing w:line="360" w:lineRule="auto"/>
        <w:jc w:val="center"/>
        <w:rPr>
          <w:rFonts w:ascii="宋体"/>
          <w:b/>
          <w:sz w:val="30"/>
          <w:szCs w:val="30"/>
        </w:rPr>
      </w:pPr>
    </w:p>
    <w:p w14:paraId="4E378CA5">
      <w:pPr>
        <w:snapToGrid w:val="0"/>
        <w:spacing w:line="360" w:lineRule="auto"/>
        <w:jc w:val="center"/>
        <w:rPr>
          <w:rFonts w:ascii="宋体"/>
          <w:b/>
          <w:sz w:val="30"/>
          <w:szCs w:val="30"/>
        </w:rPr>
      </w:pPr>
    </w:p>
    <w:p w14:paraId="441B72EE">
      <w:pPr>
        <w:snapToGrid w:val="0"/>
        <w:spacing w:line="360" w:lineRule="auto"/>
        <w:jc w:val="center"/>
        <w:rPr>
          <w:rFonts w:ascii="宋体"/>
          <w:b/>
          <w:sz w:val="30"/>
          <w:szCs w:val="30"/>
        </w:rPr>
      </w:pPr>
    </w:p>
    <w:p w14:paraId="6C14EEE6">
      <w:pPr>
        <w:snapToGrid w:val="0"/>
        <w:spacing w:line="360" w:lineRule="auto"/>
        <w:jc w:val="center"/>
        <w:rPr>
          <w:rFonts w:ascii="宋体"/>
          <w:b/>
          <w:sz w:val="30"/>
          <w:szCs w:val="30"/>
        </w:rPr>
        <w:sectPr>
          <w:headerReference r:id="rId5" w:type="first"/>
          <w:headerReference r:id="rId3" w:type="default"/>
          <w:footerReference r:id="rId6" w:type="default"/>
          <w:headerReference r:id="rId4" w:type="even"/>
          <w:pgSz w:w="11907" w:h="16840"/>
          <w:pgMar w:top="1480" w:right="1134" w:bottom="1276" w:left="1134" w:header="851" w:footer="907" w:gutter="0"/>
          <w:pgNumType w:start="1"/>
          <w:cols w:space="720" w:num="1"/>
          <w:docGrid w:linePitch="286" w:charSpace="0"/>
        </w:sectPr>
      </w:pPr>
    </w:p>
    <w:p w14:paraId="7A1DD09B">
      <w:pPr>
        <w:snapToGrid w:val="0"/>
        <w:spacing w:line="360" w:lineRule="auto"/>
        <w:jc w:val="center"/>
        <w:rPr>
          <w:rFonts w:ascii="宋体"/>
          <w:b/>
          <w:sz w:val="30"/>
          <w:szCs w:val="30"/>
        </w:rPr>
      </w:pPr>
    </w:p>
    <w:p w14:paraId="64D8CF9B">
      <w:pPr>
        <w:snapToGrid w:val="0"/>
        <w:spacing w:line="360" w:lineRule="auto"/>
        <w:jc w:val="center"/>
        <w:rPr>
          <w:rFonts w:ascii="宋体"/>
          <w:b/>
          <w:sz w:val="30"/>
          <w:szCs w:val="30"/>
        </w:rPr>
      </w:pPr>
      <w:r>
        <w:rPr>
          <w:rFonts w:hint="eastAsia" w:ascii="宋体"/>
          <w:b/>
          <w:sz w:val="30"/>
          <w:szCs w:val="30"/>
        </w:rPr>
        <w:t>目  录</w:t>
      </w:r>
    </w:p>
    <w:p w14:paraId="6CA14C8A">
      <w:pPr>
        <w:pStyle w:val="5"/>
        <w:tabs>
          <w:tab w:val="right" w:leader="dot" w:pos="9639"/>
          <w:tab w:val="clear" w:pos="9628"/>
        </w:tabs>
        <w:ind w:firstLine="0" w:firstLineChars="0"/>
        <w:jc w:val="both"/>
        <w:rPr>
          <w:rFonts w:ascii="宋体"/>
          <w:sz w:val="24"/>
          <w:szCs w:val="24"/>
        </w:rPr>
      </w:pPr>
    </w:p>
    <w:p w14:paraId="0302452B">
      <w:pPr>
        <w:pStyle w:val="5"/>
        <w:tabs>
          <w:tab w:val="right" w:leader="dot" w:pos="9639"/>
          <w:tab w:val="clear" w:pos="9628"/>
        </w:tabs>
        <w:ind w:firstLine="324"/>
      </w:pPr>
      <w:r>
        <w:rPr>
          <w:rFonts w:ascii="宋体"/>
          <w:sz w:val="24"/>
          <w:szCs w:val="24"/>
        </w:rPr>
        <w:fldChar w:fldCharType="begin"/>
      </w:r>
      <w:r>
        <w:rPr>
          <w:rFonts w:ascii="宋体"/>
          <w:sz w:val="24"/>
          <w:szCs w:val="24"/>
        </w:rPr>
        <w:instrText xml:space="preserve"> </w:instrText>
      </w:r>
      <w:r>
        <w:rPr>
          <w:rFonts w:hint="eastAsia" w:ascii="宋体"/>
          <w:sz w:val="24"/>
          <w:szCs w:val="24"/>
        </w:rPr>
        <w:instrText xml:space="preserve">TOC \o "1-3" \h \z \u</w:instrText>
      </w:r>
      <w:r>
        <w:rPr>
          <w:rFonts w:ascii="宋体"/>
          <w:sz w:val="24"/>
          <w:szCs w:val="24"/>
        </w:rPr>
        <w:instrText xml:space="preserve"> </w:instrText>
      </w:r>
      <w:r>
        <w:rPr>
          <w:rFonts w:ascii="宋体"/>
          <w:sz w:val="24"/>
          <w:szCs w:val="24"/>
        </w:rPr>
        <w:fldChar w:fldCharType="separate"/>
      </w:r>
      <w:r>
        <w:fldChar w:fldCharType="begin"/>
      </w:r>
      <w:r>
        <w:instrText xml:space="preserve"> HYPERLINK \l "_Toc25090" </w:instrText>
      </w:r>
      <w:r>
        <w:fldChar w:fldCharType="separate"/>
      </w:r>
      <w:r>
        <w:rPr>
          <w:rFonts w:hint="eastAsia" w:ascii="宋体"/>
          <w:bCs/>
          <w:szCs w:val="24"/>
        </w:rPr>
        <w:t>第一章  招标公告</w:t>
      </w:r>
      <w:r>
        <w:tab/>
      </w:r>
      <w:r>
        <w:fldChar w:fldCharType="begin"/>
      </w:r>
      <w:r>
        <w:instrText xml:space="preserve"> PAGEREF _Toc25090 \h </w:instrText>
      </w:r>
      <w:r>
        <w:fldChar w:fldCharType="separate"/>
      </w:r>
      <w:r>
        <w:t>1</w:t>
      </w:r>
      <w:r>
        <w:fldChar w:fldCharType="end"/>
      </w:r>
      <w:r>
        <w:fldChar w:fldCharType="end"/>
      </w:r>
    </w:p>
    <w:p w14:paraId="09243FFE">
      <w:pPr>
        <w:pStyle w:val="5"/>
        <w:tabs>
          <w:tab w:val="right" w:leader="dot" w:pos="9639"/>
          <w:tab w:val="clear" w:pos="9628"/>
        </w:tabs>
        <w:ind w:firstLine="270"/>
      </w:pPr>
      <w:r>
        <w:fldChar w:fldCharType="begin"/>
      </w:r>
      <w:r>
        <w:instrText xml:space="preserve"> HYPERLINK \l "_Toc25446" </w:instrText>
      </w:r>
      <w:r>
        <w:fldChar w:fldCharType="separate"/>
      </w:r>
      <w:r>
        <w:rPr>
          <w:rFonts w:hint="eastAsia" w:ascii="宋体"/>
          <w:bCs/>
          <w:szCs w:val="24"/>
        </w:rPr>
        <w:t>第二章  投标单位须知</w:t>
      </w:r>
      <w:r>
        <w:tab/>
      </w:r>
      <w:r>
        <w:fldChar w:fldCharType="begin"/>
      </w:r>
      <w:r>
        <w:instrText xml:space="preserve"> PAGEREF _Toc25446 \h </w:instrText>
      </w:r>
      <w:r>
        <w:fldChar w:fldCharType="separate"/>
      </w:r>
      <w:r>
        <w:t>2</w:t>
      </w:r>
      <w:r>
        <w:fldChar w:fldCharType="end"/>
      </w:r>
      <w:r>
        <w:fldChar w:fldCharType="end"/>
      </w:r>
    </w:p>
    <w:p w14:paraId="4EB79DAF">
      <w:pPr>
        <w:pStyle w:val="5"/>
        <w:tabs>
          <w:tab w:val="right" w:leader="dot" w:pos="9639"/>
          <w:tab w:val="clear" w:pos="9628"/>
        </w:tabs>
        <w:ind w:firstLine="270"/>
      </w:pPr>
      <w:r>
        <w:fldChar w:fldCharType="begin"/>
      </w:r>
      <w:r>
        <w:instrText xml:space="preserve"> HYPERLINK \l "_Toc1453" </w:instrText>
      </w:r>
      <w:r>
        <w:fldChar w:fldCharType="separate"/>
      </w:r>
      <w:r>
        <w:rPr>
          <w:rFonts w:hint="eastAsia" w:ascii="宋体"/>
          <w:bCs/>
          <w:szCs w:val="24"/>
        </w:rPr>
        <w:t>第三章  投标文件格式</w:t>
      </w:r>
      <w:r>
        <w:tab/>
      </w:r>
      <w:r>
        <w:fldChar w:fldCharType="begin"/>
      </w:r>
      <w:r>
        <w:instrText xml:space="preserve"> PAGEREF _Toc1453 \h </w:instrText>
      </w:r>
      <w:r>
        <w:fldChar w:fldCharType="separate"/>
      </w:r>
      <w:r>
        <w:t>4</w:t>
      </w:r>
      <w:r>
        <w:fldChar w:fldCharType="end"/>
      </w:r>
      <w:r>
        <w:fldChar w:fldCharType="end"/>
      </w:r>
    </w:p>
    <w:p w14:paraId="75292C10">
      <w:pPr>
        <w:pStyle w:val="6"/>
        <w:tabs>
          <w:tab w:val="right" w:leader="dot" w:pos="9639"/>
          <w:tab w:val="clear" w:pos="9628"/>
        </w:tabs>
        <w:ind w:firstLine="540"/>
      </w:pPr>
      <w:r>
        <w:fldChar w:fldCharType="begin"/>
      </w:r>
      <w:r>
        <w:instrText xml:space="preserve"> HYPERLINK \l "_Toc24884" </w:instrText>
      </w:r>
      <w:r>
        <w:fldChar w:fldCharType="separate"/>
      </w:r>
      <w:r>
        <w:rPr>
          <w:rFonts w:hint="eastAsia" w:ascii="宋体"/>
          <w:szCs w:val="28"/>
        </w:rPr>
        <w:t>一、投标函</w:t>
      </w:r>
      <w:r>
        <w:tab/>
      </w:r>
      <w:r>
        <w:fldChar w:fldCharType="begin"/>
      </w:r>
      <w:r>
        <w:instrText xml:space="preserve"> PAGEREF _Toc24884 \h </w:instrText>
      </w:r>
      <w:r>
        <w:fldChar w:fldCharType="separate"/>
      </w:r>
      <w:r>
        <w:t>7</w:t>
      </w:r>
      <w:r>
        <w:fldChar w:fldCharType="end"/>
      </w:r>
      <w:r>
        <w:fldChar w:fldCharType="end"/>
      </w:r>
    </w:p>
    <w:p w14:paraId="478C4923">
      <w:pPr>
        <w:pStyle w:val="6"/>
        <w:tabs>
          <w:tab w:val="right" w:leader="dot" w:pos="9639"/>
          <w:tab w:val="clear" w:pos="9628"/>
        </w:tabs>
        <w:ind w:firstLine="540"/>
      </w:pPr>
      <w:r>
        <w:fldChar w:fldCharType="begin"/>
      </w:r>
      <w:r>
        <w:instrText xml:space="preserve"> HYPERLINK \l "_Toc9853" </w:instrText>
      </w:r>
      <w:r>
        <w:fldChar w:fldCharType="separate"/>
      </w:r>
      <w:r>
        <w:rPr>
          <w:rFonts w:hint="eastAsia" w:ascii="宋体"/>
          <w:szCs w:val="28"/>
        </w:rPr>
        <w:t>二、法定代表人身份证明书</w:t>
      </w:r>
      <w:r>
        <w:tab/>
      </w:r>
      <w:r>
        <w:fldChar w:fldCharType="begin"/>
      </w:r>
      <w:r>
        <w:instrText xml:space="preserve"> PAGEREF _Toc9853 \h </w:instrText>
      </w:r>
      <w:r>
        <w:fldChar w:fldCharType="separate"/>
      </w:r>
      <w:r>
        <w:t>8</w:t>
      </w:r>
      <w:r>
        <w:fldChar w:fldCharType="end"/>
      </w:r>
      <w:r>
        <w:fldChar w:fldCharType="end"/>
      </w:r>
    </w:p>
    <w:p w14:paraId="6BDEB022">
      <w:pPr>
        <w:pStyle w:val="6"/>
        <w:tabs>
          <w:tab w:val="right" w:leader="dot" w:pos="9639"/>
          <w:tab w:val="clear" w:pos="9628"/>
        </w:tabs>
        <w:ind w:firstLine="540"/>
      </w:pPr>
      <w:r>
        <w:fldChar w:fldCharType="begin"/>
      </w:r>
      <w:r>
        <w:instrText xml:space="preserve"> HYPERLINK \l "_Toc12854" </w:instrText>
      </w:r>
      <w:r>
        <w:fldChar w:fldCharType="separate"/>
      </w:r>
      <w:r>
        <w:rPr>
          <w:rFonts w:hint="eastAsia" w:ascii="宋体"/>
          <w:szCs w:val="28"/>
        </w:rPr>
        <w:t>三、投标授权委托书</w:t>
      </w:r>
      <w:r>
        <w:tab/>
      </w:r>
      <w:r>
        <w:fldChar w:fldCharType="begin"/>
      </w:r>
      <w:r>
        <w:instrText xml:space="preserve"> PAGEREF _Toc12854 \h </w:instrText>
      </w:r>
      <w:r>
        <w:fldChar w:fldCharType="separate"/>
      </w:r>
      <w:r>
        <w:t>9</w:t>
      </w:r>
      <w:r>
        <w:fldChar w:fldCharType="end"/>
      </w:r>
      <w:r>
        <w:fldChar w:fldCharType="end"/>
      </w:r>
    </w:p>
    <w:p w14:paraId="5918022F">
      <w:pPr>
        <w:pStyle w:val="6"/>
        <w:tabs>
          <w:tab w:val="right" w:leader="dot" w:pos="9639"/>
          <w:tab w:val="clear" w:pos="9628"/>
        </w:tabs>
        <w:ind w:firstLine="540"/>
      </w:pPr>
      <w:r>
        <w:fldChar w:fldCharType="begin"/>
      </w:r>
      <w:r>
        <w:instrText xml:space="preserve"> HYPERLINK \l "_Toc4803" </w:instrText>
      </w:r>
      <w:r>
        <w:fldChar w:fldCharType="separate"/>
      </w:r>
      <w:r>
        <w:rPr>
          <w:rFonts w:hint="eastAsia" w:ascii="宋体"/>
          <w:szCs w:val="28"/>
        </w:rPr>
        <w:t>四、资质证明文件</w:t>
      </w:r>
      <w:r>
        <w:tab/>
      </w:r>
      <w:r>
        <w:fldChar w:fldCharType="begin"/>
      </w:r>
      <w:r>
        <w:instrText xml:space="preserve"> PAGEREF _Toc4803 \h </w:instrText>
      </w:r>
      <w:r>
        <w:fldChar w:fldCharType="separate"/>
      </w:r>
      <w:r>
        <w:t>10</w:t>
      </w:r>
      <w:r>
        <w:fldChar w:fldCharType="end"/>
      </w:r>
      <w:r>
        <w:fldChar w:fldCharType="end"/>
      </w:r>
    </w:p>
    <w:p w14:paraId="0918AC67">
      <w:pPr>
        <w:pStyle w:val="6"/>
        <w:tabs>
          <w:tab w:val="right" w:leader="dot" w:pos="9639"/>
          <w:tab w:val="clear" w:pos="9628"/>
        </w:tabs>
        <w:ind w:firstLine="540"/>
      </w:pPr>
      <w:r>
        <w:fldChar w:fldCharType="begin"/>
      </w:r>
      <w:r>
        <w:instrText xml:space="preserve"> HYPERLINK \l "_Toc5785" </w:instrText>
      </w:r>
      <w:r>
        <w:fldChar w:fldCharType="separate"/>
      </w:r>
      <w:r>
        <w:rPr>
          <w:rFonts w:hint="eastAsia" w:ascii="宋体"/>
          <w:szCs w:val="28"/>
        </w:rPr>
        <w:t>五、投标承诺</w:t>
      </w:r>
      <w:r>
        <w:tab/>
      </w:r>
      <w:r>
        <w:fldChar w:fldCharType="begin"/>
      </w:r>
      <w:r>
        <w:instrText xml:space="preserve"> PAGEREF _Toc5785 \h </w:instrText>
      </w:r>
      <w:r>
        <w:fldChar w:fldCharType="separate"/>
      </w:r>
      <w:r>
        <w:t>10</w:t>
      </w:r>
      <w:r>
        <w:fldChar w:fldCharType="end"/>
      </w:r>
      <w:r>
        <w:fldChar w:fldCharType="end"/>
      </w:r>
    </w:p>
    <w:p w14:paraId="129AB167">
      <w:pPr>
        <w:pStyle w:val="6"/>
        <w:tabs>
          <w:tab w:val="right" w:leader="dot" w:pos="9639"/>
          <w:tab w:val="clear" w:pos="9628"/>
        </w:tabs>
        <w:ind w:firstLine="540"/>
      </w:pPr>
      <w:r>
        <w:fldChar w:fldCharType="begin"/>
      </w:r>
      <w:r>
        <w:instrText xml:space="preserve"> HYPERLINK \l "_Toc7341" </w:instrText>
      </w:r>
      <w:r>
        <w:fldChar w:fldCharType="separate"/>
      </w:r>
      <w:r>
        <w:rPr>
          <w:rFonts w:hint="eastAsia" w:ascii="宋体"/>
          <w:szCs w:val="28"/>
        </w:rPr>
        <w:t>六、投标单位基本情况调查表</w:t>
      </w:r>
      <w:r>
        <w:tab/>
      </w:r>
      <w:r>
        <w:fldChar w:fldCharType="begin"/>
      </w:r>
      <w:r>
        <w:instrText xml:space="preserve"> PAGEREF _Toc7341 \h </w:instrText>
      </w:r>
      <w:r>
        <w:fldChar w:fldCharType="separate"/>
      </w:r>
      <w:r>
        <w:t>12</w:t>
      </w:r>
      <w:r>
        <w:fldChar w:fldCharType="end"/>
      </w:r>
      <w:r>
        <w:fldChar w:fldCharType="end"/>
      </w:r>
    </w:p>
    <w:p w14:paraId="539488EB">
      <w:pPr>
        <w:pStyle w:val="6"/>
        <w:tabs>
          <w:tab w:val="right" w:leader="dot" w:pos="9639"/>
          <w:tab w:val="clear" w:pos="9628"/>
        </w:tabs>
        <w:ind w:firstLine="540"/>
      </w:pPr>
      <w:r>
        <w:fldChar w:fldCharType="begin"/>
      </w:r>
      <w:r>
        <w:instrText xml:space="preserve"> HYPERLINK \l "_Toc22847" </w:instrText>
      </w:r>
      <w:r>
        <w:fldChar w:fldCharType="separate"/>
      </w:r>
      <w:r>
        <w:rPr>
          <w:rFonts w:hint="eastAsia" w:ascii="宋体"/>
          <w:szCs w:val="28"/>
        </w:rPr>
        <w:t>七、技术偏离答疑表</w:t>
      </w:r>
      <w:r>
        <w:tab/>
      </w:r>
      <w:r>
        <w:fldChar w:fldCharType="begin"/>
      </w:r>
      <w:r>
        <w:instrText xml:space="preserve"> PAGEREF _Toc22847 \h </w:instrText>
      </w:r>
      <w:r>
        <w:fldChar w:fldCharType="separate"/>
      </w:r>
      <w:r>
        <w:t>13</w:t>
      </w:r>
      <w:r>
        <w:fldChar w:fldCharType="end"/>
      </w:r>
      <w:r>
        <w:fldChar w:fldCharType="end"/>
      </w:r>
    </w:p>
    <w:p w14:paraId="04558AAC">
      <w:pPr>
        <w:pStyle w:val="6"/>
        <w:tabs>
          <w:tab w:val="right" w:leader="dot" w:pos="9639"/>
          <w:tab w:val="clear" w:pos="9628"/>
        </w:tabs>
        <w:ind w:firstLine="540"/>
      </w:pPr>
      <w:r>
        <w:fldChar w:fldCharType="begin"/>
      </w:r>
      <w:r>
        <w:instrText xml:space="preserve"> HYPERLINK \l "_Toc21511" </w:instrText>
      </w:r>
      <w:r>
        <w:fldChar w:fldCharType="separate"/>
      </w:r>
      <w:r>
        <w:rPr>
          <w:rFonts w:hint="eastAsia" w:ascii="宋体"/>
          <w:szCs w:val="28"/>
        </w:rPr>
        <w:t>八、近三年业绩</w:t>
      </w:r>
      <w:r>
        <w:tab/>
      </w:r>
      <w:r>
        <w:fldChar w:fldCharType="begin"/>
      </w:r>
      <w:r>
        <w:instrText xml:space="preserve"> PAGEREF _Toc21511 \h </w:instrText>
      </w:r>
      <w:r>
        <w:fldChar w:fldCharType="separate"/>
      </w:r>
      <w:r>
        <w:t>14</w:t>
      </w:r>
      <w:r>
        <w:fldChar w:fldCharType="end"/>
      </w:r>
      <w:r>
        <w:fldChar w:fldCharType="end"/>
      </w:r>
    </w:p>
    <w:p w14:paraId="60B5A028">
      <w:pPr>
        <w:pStyle w:val="6"/>
        <w:tabs>
          <w:tab w:val="right" w:leader="dot" w:pos="9639"/>
          <w:tab w:val="clear" w:pos="9628"/>
        </w:tabs>
        <w:ind w:firstLine="540"/>
      </w:pPr>
      <w:r>
        <w:fldChar w:fldCharType="begin"/>
      </w:r>
      <w:r>
        <w:instrText xml:space="preserve"> HYPERLINK \l "_Toc16941" </w:instrText>
      </w:r>
      <w:r>
        <w:fldChar w:fldCharType="separate"/>
      </w:r>
      <w:r>
        <w:rPr>
          <w:rFonts w:hint="eastAsia" w:ascii="宋体"/>
          <w:szCs w:val="28"/>
        </w:rPr>
        <w:t>九、履约情况说明</w:t>
      </w:r>
      <w:r>
        <w:tab/>
      </w:r>
      <w:r>
        <w:fldChar w:fldCharType="begin"/>
      </w:r>
      <w:r>
        <w:instrText xml:space="preserve"> PAGEREF _Toc16941 \h </w:instrText>
      </w:r>
      <w:r>
        <w:fldChar w:fldCharType="separate"/>
      </w:r>
      <w:r>
        <w:t>14</w:t>
      </w:r>
      <w:r>
        <w:fldChar w:fldCharType="end"/>
      </w:r>
      <w:r>
        <w:fldChar w:fldCharType="end"/>
      </w:r>
    </w:p>
    <w:p w14:paraId="32CDF6CC">
      <w:pPr>
        <w:pStyle w:val="6"/>
        <w:tabs>
          <w:tab w:val="right" w:leader="dot" w:pos="9639"/>
          <w:tab w:val="clear" w:pos="9628"/>
        </w:tabs>
        <w:ind w:firstLine="540"/>
      </w:pPr>
      <w:r>
        <w:fldChar w:fldCharType="begin"/>
      </w:r>
      <w:r>
        <w:instrText xml:space="preserve"> HYPERLINK \l "_Toc19568" </w:instrText>
      </w:r>
      <w:r>
        <w:fldChar w:fldCharType="separate"/>
      </w:r>
      <w:r>
        <w:rPr>
          <w:rFonts w:hint="eastAsia" w:ascii="宋体"/>
          <w:szCs w:val="28"/>
        </w:rPr>
        <w:t>十、技术服务方案</w:t>
      </w:r>
      <w:r>
        <w:tab/>
      </w:r>
      <w:r>
        <w:fldChar w:fldCharType="begin"/>
      </w:r>
      <w:r>
        <w:instrText xml:space="preserve"> PAGEREF _Toc19568 \h </w:instrText>
      </w:r>
      <w:r>
        <w:fldChar w:fldCharType="separate"/>
      </w:r>
      <w:r>
        <w:t>15</w:t>
      </w:r>
      <w:r>
        <w:fldChar w:fldCharType="end"/>
      </w:r>
      <w:r>
        <w:fldChar w:fldCharType="end"/>
      </w:r>
    </w:p>
    <w:p w14:paraId="2281C8E7">
      <w:pPr>
        <w:pStyle w:val="6"/>
        <w:tabs>
          <w:tab w:val="right" w:leader="dot" w:pos="9639"/>
          <w:tab w:val="clear" w:pos="9628"/>
        </w:tabs>
        <w:ind w:firstLine="540"/>
      </w:pPr>
      <w:r>
        <w:fldChar w:fldCharType="begin"/>
      </w:r>
      <w:r>
        <w:instrText xml:space="preserve"> HYPERLINK \l "_Toc7928" </w:instrText>
      </w:r>
      <w:r>
        <w:fldChar w:fldCharType="separate"/>
      </w:r>
      <w:r>
        <w:rPr>
          <w:rFonts w:hint="eastAsia" w:ascii="宋体"/>
          <w:szCs w:val="28"/>
        </w:rPr>
        <w:t>十一、投标保证金缴纳信息表</w:t>
      </w:r>
      <w:r>
        <w:tab/>
      </w:r>
      <w:r>
        <w:fldChar w:fldCharType="begin"/>
      </w:r>
      <w:r>
        <w:instrText xml:space="preserve"> PAGEREF _Toc7928 \h </w:instrText>
      </w:r>
      <w:r>
        <w:fldChar w:fldCharType="separate"/>
      </w:r>
      <w:r>
        <w:t>15</w:t>
      </w:r>
      <w:r>
        <w:fldChar w:fldCharType="end"/>
      </w:r>
      <w:r>
        <w:fldChar w:fldCharType="end"/>
      </w:r>
    </w:p>
    <w:p w14:paraId="680502C2">
      <w:pPr>
        <w:pStyle w:val="6"/>
        <w:tabs>
          <w:tab w:val="right" w:leader="dot" w:pos="9639"/>
          <w:tab w:val="clear" w:pos="9628"/>
        </w:tabs>
        <w:ind w:firstLine="540"/>
      </w:pPr>
      <w:r>
        <w:fldChar w:fldCharType="begin"/>
      </w:r>
      <w:r>
        <w:instrText xml:space="preserve"> HYPERLINK \l "_Toc17694" </w:instrText>
      </w:r>
      <w:r>
        <w:fldChar w:fldCharType="separate"/>
      </w:r>
      <w:r>
        <w:rPr>
          <w:rFonts w:hint="eastAsia" w:ascii="宋体"/>
          <w:szCs w:val="28"/>
        </w:rPr>
        <w:t>十二、报价单</w:t>
      </w:r>
      <w:r>
        <w:tab/>
      </w:r>
      <w:r>
        <w:fldChar w:fldCharType="begin"/>
      </w:r>
      <w:r>
        <w:instrText xml:space="preserve"> PAGEREF _Toc17694 \h </w:instrText>
      </w:r>
      <w:r>
        <w:fldChar w:fldCharType="separate"/>
      </w:r>
      <w:r>
        <w:t>18</w:t>
      </w:r>
      <w:r>
        <w:fldChar w:fldCharType="end"/>
      </w:r>
      <w:r>
        <w:fldChar w:fldCharType="end"/>
      </w:r>
    </w:p>
    <w:p w14:paraId="2347B933">
      <w:pPr>
        <w:pStyle w:val="6"/>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1198A283">
      <w:pPr>
        <w:snapToGrid w:val="0"/>
        <w:spacing w:line="360" w:lineRule="auto"/>
        <w:rPr>
          <w:rFonts w:ascii="宋体"/>
          <w:sz w:val="21"/>
          <w:szCs w:val="21"/>
        </w:rPr>
      </w:pPr>
    </w:p>
    <w:p w14:paraId="279F2BEC">
      <w:pPr>
        <w:snapToGrid w:val="0"/>
        <w:spacing w:line="360" w:lineRule="auto"/>
        <w:ind w:left="1103" w:leftChars="525"/>
        <w:rPr>
          <w:rFonts w:ascii="宋体"/>
          <w:sz w:val="21"/>
          <w:szCs w:val="21"/>
        </w:rPr>
      </w:pPr>
    </w:p>
    <w:p w14:paraId="2064B648">
      <w:pPr>
        <w:snapToGrid w:val="0"/>
        <w:spacing w:line="360" w:lineRule="auto"/>
        <w:ind w:left="1103" w:leftChars="525"/>
        <w:rPr>
          <w:rFonts w:ascii="宋体"/>
          <w:sz w:val="21"/>
          <w:szCs w:val="21"/>
        </w:rPr>
      </w:pPr>
    </w:p>
    <w:p w14:paraId="52B1AED0">
      <w:pPr>
        <w:snapToGrid w:val="0"/>
        <w:spacing w:line="360" w:lineRule="auto"/>
        <w:ind w:left="1103" w:leftChars="525"/>
        <w:rPr>
          <w:rFonts w:ascii="宋体"/>
          <w:sz w:val="21"/>
          <w:szCs w:val="21"/>
        </w:rPr>
      </w:pPr>
    </w:p>
    <w:p w14:paraId="058C466B">
      <w:pPr>
        <w:snapToGrid w:val="0"/>
        <w:spacing w:line="360" w:lineRule="auto"/>
        <w:ind w:left="1103" w:leftChars="525"/>
        <w:rPr>
          <w:rFonts w:ascii="宋体"/>
          <w:sz w:val="21"/>
          <w:szCs w:val="21"/>
        </w:rPr>
      </w:pPr>
    </w:p>
    <w:p w14:paraId="71763D14">
      <w:pPr>
        <w:snapToGrid w:val="0"/>
        <w:spacing w:line="360" w:lineRule="auto"/>
        <w:ind w:left="1103" w:leftChars="525"/>
        <w:rPr>
          <w:rFonts w:ascii="宋体"/>
          <w:sz w:val="21"/>
          <w:szCs w:val="21"/>
        </w:rPr>
      </w:pPr>
    </w:p>
    <w:p w14:paraId="601209AC">
      <w:pPr>
        <w:rPr>
          <w:rFonts w:ascii="宋体"/>
        </w:rPr>
      </w:pPr>
      <w:bookmarkStart w:id="2" w:name="_Toc301277396"/>
      <w:bookmarkStart w:id="3" w:name="OLE_LINK13"/>
      <w:bookmarkStart w:id="4" w:name="OLE_LINK14"/>
      <w:bookmarkStart w:id="5" w:name="OLE_LINK8"/>
      <w:bookmarkStart w:id="6" w:name="OLE_LINK3"/>
    </w:p>
    <w:bookmarkEnd w:id="2"/>
    <w:p w14:paraId="2F09EA6B">
      <w:pPr>
        <w:pStyle w:val="2"/>
        <w:numPr>
          <w:ilvl w:val="0"/>
          <w:numId w:val="0"/>
        </w:numPr>
        <w:spacing w:before="120" w:beforeLines="50" w:line="360" w:lineRule="auto"/>
        <w:rPr>
          <w:rFonts w:ascii="宋体" w:eastAsia="宋体"/>
          <w:b/>
          <w:bCs/>
          <w:sz w:val="24"/>
          <w:szCs w:val="24"/>
        </w:rPr>
        <w:sectPr>
          <w:footerReference r:id="rId7" w:type="default"/>
          <w:pgSz w:w="11907" w:h="16840"/>
          <w:pgMar w:top="1480" w:right="1134" w:bottom="1276" w:left="1134" w:header="851" w:footer="907" w:gutter="0"/>
          <w:pgNumType w:start="1"/>
          <w:cols w:space="720" w:num="1"/>
          <w:docGrid w:linePitch="286" w:charSpace="0"/>
        </w:sectPr>
      </w:pPr>
      <w:bookmarkStart w:id="7" w:name="_Toc301277397"/>
      <w:bookmarkStart w:id="8" w:name="_Toc364407825"/>
    </w:p>
    <w:bookmarkEnd w:id="0"/>
    <w:bookmarkEnd w:id="1"/>
    <w:bookmarkEnd w:id="3"/>
    <w:bookmarkEnd w:id="4"/>
    <w:bookmarkEnd w:id="5"/>
    <w:bookmarkEnd w:id="6"/>
    <w:bookmarkEnd w:id="7"/>
    <w:bookmarkEnd w:id="8"/>
    <w:p w14:paraId="2A72EA08">
      <w:pPr>
        <w:jc w:val="center"/>
        <w:rPr>
          <w:rFonts w:hint="eastAsia" w:ascii="宋体" w:hAnsi="宋体" w:cs="宋体"/>
          <w:b/>
          <w:bCs/>
          <w:sz w:val="21"/>
          <w:szCs w:val="21"/>
        </w:rPr>
      </w:pPr>
      <w:bookmarkStart w:id="9" w:name="_Toc25090"/>
    </w:p>
    <w:p w14:paraId="1589029C">
      <w:pPr>
        <w:jc w:val="center"/>
        <w:rPr>
          <w:rFonts w:hint="eastAsia" w:ascii="宋体" w:hAnsi="宋体" w:cs="宋体"/>
          <w:b/>
          <w:bCs/>
          <w:sz w:val="24"/>
          <w:szCs w:val="24"/>
        </w:rPr>
      </w:pPr>
      <w:r>
        <w:rPr>
          <w:rFonts w:hint="eastAsia" w:ascii="宋体" w:hAnsi="宋体" w:cs="宋体"/>
          <w:b/>
          <w:bCs/>
          <w:sz w:val="24"/>
          <w:szCs w:val="24"/>
        </w:rPr>
        <w:t>投标人须知前附表</w:t>
      </w:r>
    </w:p>
    <w:p w14:paraId="4435DC02">
      <w:pPr>
        <w:rPr>
          <w:rFonts w:hint="eastAsia" w:ascii="宋体" w:hAnsi="宋体" w:cs="宋体"/>
          <w:sz w:val="21"/>
          <w:szCs w:val="21"/>
        </w:rPr>
      </w:pPr>
    </w:p>
    <w:tbl>
      <w:tblPr>
        <w:tblStyle w:val="7"/>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676"/>
      </w:tblGrid>
      <w:tr w14:paraId="47BF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exact"/>
        </w:trPr>
        <w:tc>
          <w:tcPr>
            <w:tcW w:w="1083" w:type="dxa"/>
            <w:vAlign w:val="center"/>
          </w:tcPr>
          <w:p w14:paraId="6146218D">
            <w:pPr>
              <w:jc w:val="center"/>
              <w:rPr>
                <w:rFonts w:hint="eastAsia" w:ascii="宋体" w:hAnsi="宋体" w:cs="宋体"/>
                <w:b/>
                <w:bCs/>
                <w:kern w:val="2"/>
                <w:sz w:val="21"/>
                <w:szCs w:val="21"/>
              </w:rPr>
            </w:pPr>
            <w:r>
              <w:rPr>
                <w:rFonts w:hint="eastAsia" w:ascii="宋体" w:hAnsi="宋体" w:cs="宋体"/>
                <w:b/>
                <w:bCs/>
                <w:sz w:val="21"/>
                <w:szCs w:val="21"/>
              </w:rPr>
              <w:t>序号</w:t>
            </w:r>
          </w:p>
        </w:tc>
        <w:tc>
          <w:tcPr>
            <w:tcW w:w="8676" w:type="dxa"/>
            <w:vAlign w:val="center"/>
          </w:tcPr>
          <w:p w14:paraId="5A81FC7B">
            <w:pPr>
              <w:jc w:val="center"/>
              <w:rPr>
                <w:rFonts w:hint="eastAsia" w:ascii="宋体" w:hAnsi="宋体" w:cs="宋体"/>
                <w:b/>
                <w:bCs/>
                <w:kern w:val="2"/>
                <w:sz w:val="21"/>
                <w:szCs w:val="21"/>
              </w:rPr>
            </w:pPr>
            <w:r>
              <w:rPr>
                <w:rFonts w:hint="eastAsia" w:ascii="宋体" w:hAnsi="宋体" w:cs="宋体"/>
                <w:b/>
                <w:bCs/>
                <w:sz w:val="21"/>
                <w:szCs w:val="21"/>
              </w:rPr>
              <w:t>内容</w:t>
            </w:r>
          </w:p>
        </w:tc>
      </w:tr>
      <w:tr w14:paraId="604F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282E88FD">
            <w:pPr>
              <w:jc w:val="center"/>
              <w:rPr>
                <w:rFonts w:hint="eastAsia" w:ascii="宋体" w:hAnsi="宋体" w:cs="宋体"/>
                <w:kern w:val="2"/>
                <w:sz w:val="21"/>
                <w:szCs w:val="21"/>
              </w:rPr>
            </w:pPr>
            <w:r>
              <w:rPr>
                <w:rFonts w:hint="eastAsia" w:ascii="宋体" w:hAnsi="宋体" w:cs="宋体"/>
                <w:sz w:val="21"/>
                <w:szCs w:val="21"/>
              </w:rPr>
              <w:t>1</w:t>
            </w:r>
          </w:p>
        </w:tc>
        <w:tc>
          <w:tcPr>
            <w:tcW w:w="8676" w:type="dxa"/>
            <w:vAlign w:val="center"/>
          </w:tcPr>
          <w:p w14:paraId="1C4A0FE1">
            <w:pPr>
              <w:rPr>
                <w:rFonts w:hint="eastAsia" w:ascii="宋体" w:hAnsi="宋体" w:cs="宋体"/>
                <w:kern w:val="2"/>
                <w:sz w:val="21"/>
                <w:szCs w:val="21"/>
              </w:rPr>
            </w:pPr>
            <w:r>
              <w:rPr>
                <w:rFonts w:hint="eastAsia" w:ascii="宋体" w:hAnsi="宋体" w:cs="宋体"/>
                <w:sz w:val="21"/>
                <w:szCs w:val="21"/>
              </w:rPr>
              <w:t>项目名称：思念食品郑州、遂平、濮阳基地2026年度电力市场绿电交易项目招标</w:t>
            </w:r>
          </w:p>
        </w:tc>
      </w:tr>
      <w:tr w14:paraId="46C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44BC74B">
            <w:pPr>
              <w:jc w:val="center"/>
              <w:rPr>
                <w:rFonts w:hint="eastAsia" w:ascii="宋体" w:hAnsi="宋体" w:cs="宋体"/>
                <w:sz w:val="21"/>
                <w:szCs w:val="21"/>
              </w:rPr>
            </w:pPr>
            <w:r>
              <w:rPr>
                <w:rFonts w:hint="eastAsia" w:ascii="宋体" w:hAnsi="宋体" w:cs="宋体"/>
                <w:sz w:val="21"/>
                <w:szCs w:val="21"/>
              </w:rPr>
              <w:t>2</w:t>
            </w:r>
          </w:p>
        </w:tc>
        <w:tc>
          <w:tcPr>
            <w:tcW w:w="8676" w:type="dxa"/>
            <w:vAlign w:val="center"/>
          </w:tcPr>
          <w:p w14:paraId="1A298AEC">
            <w:pPr>
              <w:rPr>
                <w:rFonts w:hint="eastAsia" w:ascii="宋体" w:hAnsi="宋体" w:cs="宋体"/>
                <w:sz w:val="21"/>
                <w:szCs w:val="21"/>
              </w:rPr>
            </w:pPr>
            <w:r>
              <w:rPr>
                <w:rFonts w:hint="eastAsia" w:ascii="宋体" w:hAnsi="宋体" w:cs="宋体"/>
                <w:sz w:val="21"/>
                <w:szCs w:val="21"/>
              </w:rPr>
              <w:t>招标文件编号：思念招标[2025]第</w:t>
            </w:r>
            <w:r>
              <w:rPr>
                <w:rFonts w:hint="eastAsia" w:ascii="宋体" w:hAnsi="宋体" w:cs="宋体"/>
                <w:sz w:val="21"/>
                <w:szCs w:val="21"/>
                <w:lang w:val="en-US" w:eastAsia="zh-CN"/>
              </w:rPr>
              <w:t>60</w:t>
            </w:r>
            <w:r>
              <w:rPr>
                <w:rFonts w:hint="eastAsia" w:ascii="宋体" w:hAnsi="宋体" w:cs="宋体"/>
                <w:sz w:val="21"/>
                <w:szCs w:val="21"/>
              </w:rPr>
              <w:t>号</w:t>
            </w:r>
          </w:p>
        </w:tc>
      </w:tr>
      <w:tr w14:paraId="1CB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083" w:type="dxa"/>
            <w:vAlign w:val="center"/>
          </w:tcPr>
          <w:p w14:paraId="4E0E3C8F">
            <w:pPr>
              <w:jc w:val="center"/>
              <w:rPr>
                <w:rFonts w:hint="eastAsia" w:ascii="宋体" w:hAnsi="宋体" w:cs="宋体"/>
                <w:sz w:val="21"/>
                <w:szCs w:val="21"/>
              </w:rPr>
            </w:pPr>
            <w:r>
              <w:rPr>
                <w:rFonts w:hint="eastAsia" w:ascii="宋体" w:hAnsi="宋体" w:cs="宋体"/>
                <w:sz w:val="21"/>
                <w:szCs w:val="21"/>
              </w:rPr>
              <w:t>3</w:t>
            </w:r>
          </w:p>
        </w:tc>
        <w:tc>
          <w:tcPr>
            <w:tcW w:w="8676" w:type="dxa"/>
            <w:vAlign w:val="center"/>
          </w:tcPr>
          <w:p w14:paraId="1336148A">
            <w:pPr>
              <w:rPr>
                <w:rFonts w:hint="eastAsia" w:ascii="宋体" w:hAnsi="宋体" w:cs="宋体"/>
                <w:sz w:val="21"/>
                <w:szCs w:val="21"/>
              </w:rPr>
            </w:pPr>
            <w:r>
              <w:rPr>
                <w:rFonts w:hint="eastAsia" w:ascii="宋体" w:hAnsi="宋体" w:cs="宋体"/>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14:paraId="21F9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5C5C5B61">
            <w:pPr>
              <w:jc w:val="center"/>
              <w:rPr>
                <w:rFonts w:hint="eastAsia" w:ascii="宋体" w:hAnsi="宋体" w:cs="宋体"/>
                <w:sz w:val="21"/>
                <w:szCs w:val="21"/>
              </w:rPr>
            </w:pPr>
            <w:r>
              <w:rPr>
                <w:rFonts w:hint="eastAsia" w:ascii="宋体" w:hAnsi="宋体" w:cs="宋体"/>
                <w:sz w:val="21"/>
                <w:szCs w:val="21"/>
              </w:rPr>
              <w:t>4</w:t>
            </w:r>
          </w:p>
        </w:tc>
        <w:tc>
          <w:tcPr>
            <w:tcW w:w="8676" w:type="dxa"/>
            <w:vAlign w:val="center"/>
          </w:tcPr>
          <w:p w14:paraId="5E2A9092">
            <w:pPr>
              <w:rPr>
                <w:rFonts w:hint="eastAsia" w:ascii="宋体" w:hAnsi="宋体" w:cs="宋体"/>
                <w:sz w:val="21"/>
                <w:szCs w:val="21"/>
              </w:rPr>
            </w:pPr>
            <w:r>
              <w:rPr>
                <w:rFonts w:hint="eastAsia" w:ascii="宋体" w:hAnsi="宋体" w:cs="宋体"/>
                <w:sz w:val="21"/>
                <w:szCs w:val="21"/>
              </w:rPr>
              <w:t>投标文件须以中文编写</w:t>
            </w:r>
          </w:p>
        </w:tc>
      </w:tr>
      <w:tr w14:paraId="4B17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E3F3C13">
            <w:pPr>
              <w:jc w:val="center"/>
              <w:rPr>
                <w:rFonts w:hint="eastAsia" w:ascii="宋体" w:hAnsi="宋体" w:cs="宋体"/>
                <w:sz w:val="21"/>
                <w:szCs w:val="21"/>
              </w:rPr>
            </w:pPr>
            <w:r>
              <w:rPr>
                <w:rFonts w:hint="eastAsia" w:ascii="宋体" w:hAnsi="宋体" w:cs="宋体"/>
                <w:sz w:val="21"/>
                <w:szCs w:val="21"/>
              </w:rPr>
              <w:t>5</w:t>
            </w:r>
          </w:p>
        </w:tc>
        <w:tc>
          <w:tcPr>
            <w:tcW w:w="8676" w:type="dxa"/>
            <w:vAlign w:val="center"/>
          </w:tcPr>
          <w:p w14:paraId="0AF09885">
            <w:pPr>
              <w:rPr>
                <w:rFonts w:hint="eastAsia" w:ascii="宋体" w:hAnsi="宋体" w:cs="宋体"/>
                <w:sz w:val="21"/>
                <w:szCs w:val="21"/>
              </w:rPr>
            </w:pPr>
            <w:r>
              <w:rPr>
                <w:rFonts w:hint="eastAsia" w:ascii="宋体" w:hAnsi="宋体" w:cs="宋体"/>
                <w:sz w:val="21"/>
                <w:szCs w:val="21"/>
              </w:rPr>
              <w:t>标书领取：招标方对投标方报名审核通过后，发送电子版标书至投标方邮箱/微信</w:t>
            </w:r>
          </w:p>
        </w:tc>
      </w:tr>
      <w:tr w14:paraId="43D7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6E9D804F">
            <w:pPr>
              <w:jc w:val="center"/>
              <w:rPr>
                <w:rFonts w:hint="eastAsia" w:ascii="宋体" w:hAnsi="宋体" w:cs="宋体"/>
                <w:sz w:val="21"/>
                <w:szCs w:val="21"/>
              </w:rPr>
            </w:pPr>
            <w:r>
              <w:rPr>
                <w:rFonts w:hint="eastAsia" w:ascii="宋体" w:hAnsi="宋体" w:cs="宋体"/>
                <w:sz w:val="21"/>
                <w:szCs w:val="21"/>
              </w:rPr>
              <w:t>6</w:t>
            </w:r>
          </w:p>
        </w:tc>
        <w:tc>
          <w:tcPr>
            <w:tcW w:w="8676" w:type="dxa"/>
            <w:vAlign w:val="center"/>
          </w:tcPr>
          <w:p w14:paraId="2B5054F4">
            <w:pPr>
              <w:rPr>
                <w:rFonts w:hint="eastAsia" w:ascii="宋体" w:hAnsi="宋体" w:cs="宋体"/>
                <w:color w:val="000000"/>
                <w:sz w:val="21"/>
                <w:szCs w:val="21"/>
              </w:rPr>
            </w:pPr>
            <w:r>
              <w:rPr>
                <w:rFonts w:hint="eastAsia" w:ascii="宋体" w:hAnsi="宋体" w:cs="宋体"/>
                <w:color w:val="000000"/>
                <w:sz w:val="21"/>
                <w:szCs w:val="21"/>
              </w:rPr>
              <w:t>报名截止日期： 2025年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日17:00</w:t>
            </w:r>
          </w:p>
        </w:tc>
      </w:tr>
      <w:tr w14:paraId="1F38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4E4671F5">
            <w:pPr>
              <w:jc w:val="center"/>
              <w:rPr>
                <w:rFonts w:hint="eastAsia" w:ascii="宋体" w:hAnsi="宋体" w:cs="宋体"/>
                <w:sz w:val="21"/>
                <w:szCs w:val="21"/>
              </w:rPr>
            </w:pPr>
            <w:r>
              <w:rPr>
                <w:rFonts w:hint="eastAsia" w:ascii="宋体" w:hAnsi="宋体" w:cs="宋体"/>
                <w:sz w:val="21"/>
                <w:szCs w:val="21"/>
              </w:rPr>
              <w:t>7</w:t>
            </w:r>
          </w:p>
        </w:tc>
        <w:tc>
          <w:tcPr>
            <w:tcW w:w="8676" w:type="dxa"/>
            <w:vAlign w:val="center"/>
          </w:tcPr>
          <w:p w14:paraId="7F8EAABA">
            <w:pPr>
              <w:rPr>
                <w:rFonts w:hint="eastAsia" w:ascii="宋体" w:hAnsi="宋体" w:cs="宋体"/>
                <w:color w:val="000000"/>
                <w:sz w:val="21"/>
                <w:szCs w:val="21"/>
              </w:rPr>
            </w:pPr>
            <w:r>
              <w:rPr>
                <w:rFonts w:hint="eastAsia" w:ascii="宋体" w:hAnsi="宋体" w:cs="宋体"/>
                <w:color w:val="000000"/>
                <w:sz w:val="21"/>
                <w:szCs w:val="21"/>
              </w:rPr>
              <w:t>开标日期： 2025年</w:t>
            </w:r>
            <w:r>
              <w:rPr>
                <w:rFonts w:hint="eastAsia" w:ascii="宋体" w:hAnsi="宋体" w:cs="宋体"/>
                <w:color w:val="000000"/>
                <w:sz w:val="21"/>
                <w:szCs w:val="21"/>
                <w:lang w:val="en-US" w:eastAsia="zh-CN"/>
              </w:rPr>
              <w:t>12月11</w:t>
            </w:r>
            <w:r>
              <w:rPr>
                <w:rFonts w:hint="eastAsia" w:ascii="宋体" w:hAnsi="宋体" w:cs="宋体"/>
                <w:color w:val="000000"/>
                <w:sz w:val="21"/>
                <w:szCs w:val="21"/>
              </w:rPr>
              <w:t>日上午9:30</w:t>
            </w:r>
          </w:p>
        </w:tc>
      </w:tr>
      <w:tr w14:paraId="5CE2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5ACE18CF">
            <w:pPr>
              <w:jc w:val="center"/>
              <w:rPr>
                <w:rFonts w:hint="eastAsia" w:ascii="宋体" w:hAnsi="宋体" w:cs="宋体"/>
                <w:sz w:val="21"/>
                <w:szCs w:val="21"/>
              </w:rPr>
            </w:pPr>
            <w:r>
              <w:rPr>
                <w:rFonts w:hint="eastAsia" w:ascii="宋体" w:hAnsi="宋体" w:cs="宋体"/>
                <w:sz w:val="21"/>
                <w:szCs w:val="21"/>
              </w:rPr>
              <w:t>8</w:t>
            </w:r>
          </w:p>
        </w:tc>
        <w:tc>
          <w:tcPr>
            <w:tcW w:w="8676" w:type="dxa"/>
            <w:vAlign w:val="center"/>
          </w:tcPr>
          <w:p w14:paraId="2F9AB370">
            <w:pPr>
              <w:rPr>
                <w:rFonts w:hint="eastAsia" w:ascii="宋体" w:hAnsi="宋体" w:cs="宋体"/>
                <w:kern w:val="2"/>
                <w:sz w:val="21"/>
                <w:szCs w:val="21"/>
              </w:rPr>
            </w:pPr>
            <w:r>
              <w:rPr>
                <w:rFonts w:hint="eastAsia" w:ascii="宋体" w:hAnsi="宋体" w:cs="宋体"/>
                <w:sz w:val="21"/>
                <w:szCs w:val="21"/>
              </w:rPr>
              <w:t>开标地点：郑州市惠济区英才街13号</w:t>
            </w:r>
          </w:p>
        </w:tc>
      </w:tr>
      <w:tr w14:paraId="56AD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7C6C4A49">
            <w:pPr>
              <w:jc w:val="center"/>
              <w:rPr>
                <w:rFonts w:hint="eastAsia" w:ascii="宋体" w:hAnsi="宋体" w:cs="宋体"/>
                <w:sz w:val="21"/>
                <w:szCs w:val="21"/>
              </w:rPr>
            </w:pPr>
            <w:r>
              <w:rPr>
                <w:rFonts w:hint="eastAsia" w:ascii="宋体" w:hAnsi="宋体" w:cs="宋体"/>
                <w:sz w:val="21"/>
                <w:szCs w:val="21"/>
              </w:rPr>
              <w:t>9</w:t>
            </w:r>
          </w:p>
        </w:tc>
        <w:tc>
          <w:tcPr>
            <w:tcW w:w="8676" w:type="dxa"/>
            <w:vAlign w:val="center"/>
          </w:tcPr>
          <w:p w14:paraId="616ABBA4">
            <w:pPr>
              <w:rPr>
                <w:rFonts w:hint="eastAsia" w:ascii="宋体" w:hAnsi="宋体" w:cs="宋体"/>
                <w:kern w:val="2"/>
                <w:sz w:val="21"/>
                <w:szCs w:val="21"/>
              </w:rPr>
            </w:pPr>
            <w:r>
              <w:rPr>
                <w:rFonts w:hint="eastAsia" w:ascii="宋体" w:hAnsi="宋体" w:cs="宋体"/>
                <w:sz w:val="21"/>
                <w:szCs w:val="21"/>
              </w:rPr>
              <w:t>投标结果公布方式：以邮箱/电话/微信形式通知</w:t>
            </w:r>
          </w:p>
        </w:tc>
      </w:tr>
      <w:tr w14:paraId="38BB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083" w:type="dxa"/>
            <w:vAlign w:val="center"/>
          </w:tcPr>
          <w:p w14:paraId="58990EAC">
            <w:pPr>
              <w:jc w:val="center"/>
              <w:rPr>
                <w:rFonts w:hint="eastAsia" w:ascii="宋体" w:hAnsi="宋体" w:cs="宋体"/>
                <w:sz w:val="21"/>
                <w:szCs w:val="21"/>
              </w:rPr>
            </w:pPr>
            <w:r>
              <w:rPr>
                <w:rFonts w:hint="eastAsia" w:ascii="宋体" w:hAnsi="宋体" w:cs="宋体"/>
                <w:sz w:val="21"/>
                <w:szCs w:val="21"/>
              </w:rPr>
              <w:t>10</w:t>
            </w:r>
          </w:p>
        </w:tc>
        <w:tc>
          <w:tcPr>
            <w:tcW w:w="8676" w:type="dxa"/>
            <w:vAlign w:val="center"/>
          </w:tcPr>
          <w:p w14:paraId="02D4CCA8">
            <w:pPr>
              <w:rPr>
                <w:rFonts w:hint="eastAsia" w:ascii="宋体" w:hAnsi="宋体" w:cs="宋体"/>
                <w:sz w:val="21"/>
                <w:szCs w:val="21"/>
              </w:rPr>
            </w:pPr>
            <w:r>
              <w:rPr>
                <w:rFonts w:hint="eastAsia" w:ascii="宋体" w:hAnsi="宋体" w:cs="宋体"/>
                <w:sz w:val="21"/>
                <w:szCs w:val="21"/>
              </w:rPr>
              <w:t>标书资料：密封袋装纸质版现场递交</w:t>
            </w:r>
          </w:p>
        </w:tc>
      </w:tr>
      <w:tr w14:paraId="7BE5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1E573E77">
            <w:pPr>
              <w:jc w:val="center"/>
              <w:rPr>
                <w:rFonts w:hint="eastAsia" w:ascii="宋体" w:hAnsi="宋体" w:cs="宋体"/>
                <w:sz w:val="21"/>
                <w:szCs w:val="21"/>
              </w:rPr>
            </w:pPr>
            <w:r>
              <w:rPr>
                <w:rFonts w:hint="eastAsia" w:ascii="宋体" w:hAnsi="宋体" w:cs="宋体"/>
                <w:sz w:val="21"/>
                <w:szCs w:val="21"/>
              </w:rPr>
              <w:t>11</w:t>
            </w:r>
          </w:p>
        </w:tc>
        <w:tc>
          <w:tcPr>
            <w:tcW w:w="8676" w:type="dxa"/>
            <w:vAlign w:val="center"/>
          </w:tcPr>
          <w:p w14:paraId="140416A7">
            <w:pPr>
              <w:rPr>
                <w:rFonts w:hint="eastAsia" w:ascii="宋体" w:hAnsi="宋体" w:cs="宋体"/>
                <w:sz w:val="21"/>
                <w:szCs w:val="21"/>
              </w:rPr>
            </w:pPr>
            <w:r>
              <w:rPr>
                <w:rFonts w:hint="eastAsia" w:ascii="宋体" w:hAnsi="宋体" w:cs="宋体"/>
                <w:sz w:val="21"/>
                <w:szCs w:val="21"/>
              </w:rPr>
              <w:t>报价单单独密封，如混淆当场作废</w:t>
            </w:r>
          </w:p>
        </w:tc>
      </w:tr>
      <w:tr w14:paraId="014B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vAlign w:val="center"/>
          </w:tcPr>
          <w:p w14:paraId="37129266">
            <w:pPr>
              <w:jc w:val="center"/>
              <w:rPr>
                <w:rFonts w:hint="eastAsia" w:ascii="宋体" w:hAnsi="宋体" w:cs="宋体"/>
                <w:sz w:val="21"/>
                <w:szCs w:val="21"/>
              </w:rPr>
            </w:pPr>
            <w:r>
              <w:rPr>
                <w:rFonts w:hint="eastAsia" w:ascii="宋体" w:hAnsi="宋体" w:cs="宋体"/>
                <w:sz w:val="21"/>
                <w:szCs w:val="21"/>
              </w:rPr>
              <w:t>12</w:t>
            </w:r>
          </w:p>
        </w:tc>
        <w:tc>
          <w:tcPr>
            <w:tcW w:w="8676" w:type="dxa"/>
            <w:vAlign w:val="center"/>
          </w:tcPr>
          <w:p w14:paraId="5E8722B4">
            <w:pPr>
              <w:rPr>
                <w:rFonts w:hint="eastAsia" w:ascii="宋体" w:hAnsi="宋体" w:cs="宋体"/>
                <w:sz w:val="21"/>
                <w:szCs w:val="21"/>
              </w:rPr>
            </w:pPr>
            <w:r>
              <w:rPr>
                <w:rFonts w:hint="eastAsia" w:ascii="宋体" w:hAnsi="宋体" w:cs="宋体"/>
                <w:sz w:val="21"/>
                <w:szCs w:val="21"/>
              </w:rPr>
              <w:t>投标币种：人民币</w:t>
            </w:r>
          </w:p>
        </w:tc>
      </w:tr>
      <w:tr w14:paraId="316D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083" w:type="dxa"/>
            <w:vAlign w:val="center"/>
          </w:tcPr>
          <w:p w14:paraId="3C8E9C8C">
            <w:pPr>
              <w:jc w:val="center"/>
              <w:rPr>
                <w:rFonts w:hint="eastAsia" w:ascii="宋体" w:hAnsi="宋体" w:cs="宋体"/>
                <w:sz w:val="21"/>
                <w:szCs w:val="21"/>
              </w:rPr>
            </w:pPr>
            <w:r>
              <w:rPr>
                <w:rFonts w:hint="eastAsia" w:ascii="宋体" w:hAnsi="宋体" w:cs="宋体"/>
                <w:sz w:val="21"/>
                <w:szCs w:val="21"/>
              </w:rPr>
              <w:t>13</w:t>
            </w:r>
          </w:p>
        </w:tc>
        <w:tc>
          <w:tcPr>
            <w:tcW w:w="8676" w:type="dxa"/>
            <w:vAlign w:val="center"/>
          </w:tcPr>
          <w:p w14:paraId="4618687F">
            <w:pPr>
              <w:rPr>
                <w:rFonts w:hint="eastAsia" w:ascii="宋体" w:hAnsi="宋体" w:cs="宋体"/>
                <w:sz w:val="21"/>
                <w:szCs w:val="21"/>
              </w:rPr>
            </w:pPr>
            <w:r>
              <w:rPr>
                <w:rFonts w:hint="eastAsia" w:ascii="宋体" w:hAnsi="宋体" w:cs="宋体"/>
                <w:sz w:val="21"/>
                <w:szCs w:val="21"/>
              </w:rPr>
              <w:t>投标保证金：人民币</w:t>
            </w:r>
            <w:r>
              <w:rPr>
                <w:rFonts w:hint="eastAsia" w:ascii="宋体" w:hAnsi="宋体" w:cs="宋体"/>
                <w:sz w:val="21"/>
                <w:szCs w:val="21"/>
                <w:lang w:val="en-US" w:eastAsia="zh-CN"/>
              </w:rPr>
              <w:t>100000</w:t>
            </w:r>
            <w:r>
              <w:rPr>
                <w:rFonts w:hint="eastAsia" w:ascii="宋体" w:hAnsi="宋体" w:cs="宋体"/>
                <w:sz w:val="21"/>
                <w:szCs w:val="21"/>
              </w:rPr>
              <w:t>元整（</w:t>
            </w:r>
            <w:r>
              <w:rPr>
                <w:rFonts w:hint="eastAsia" w:ascii="宋体" w:hAnsi="宋体" w:cs="宋体"/>
                <w:sz w:val="21"/>
                <w:szCs w:val="21"/>
                <w:lang w:val="en-US" w:eastAsia="zh-CN"/>
              </w:rPr>
              <w:t>拾</w:t>
            </w:r>
            <w:r>
              <w:rPr>
                <w:rFonts w:hint="eastAsia" w:ascii="宋体" w:hAnsi="宋体" w:cs="宋体"/>
                <w:sz w:val="21"/>
                <w:szCs w:val="21"/>
              </w:rPr>
              <w:t>万元整）</w:t>
            </w:r>
          </w:p>
        </w:tc>
      </w:tr>
      <w:tr w14:paraId="4A52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trPr>
        <w:tc>
          <w:tcPr>
            <w:tcW w:w="1083" w:type="dxa"/>
            <w:vAlign w:val="center"/>
          </w:tcPr>
          <w:p w14:paraId="5982F1F2">
            <w:pPr>
              <w:jc w:val="center"/>
              <w:rPr>
                <w:rFonts w:hint="eastAsia" w:ascii="宋体" w:hAnsi="宋体" w:cs="宋体"/>
                <w:sz w:val="21"/>
                <w:szCs w:val="21"/>
              </w:rPr>
            </w:pPr>
            <w:r>
              <w:rPr>
                <w:rFonts w:hint="eastAsia" w:ascii="宋体" w:hAnsi="宋体" w:cs="宋体"/>
                <w:sz w:val="21"/>
                <w:szCs w:val="21"/>
              </w:rPr>
              <w:t>14</w:t>
            </w:r>
          </w:p>
        </w:tc>
        <w:tc>
          <w:tcPr>
            <w:tcW w:w="8676" w:type="dxa"/>
            <w:vAlign w:val="center"/>
          </w:tcPr>
          <w:p w14:paraId="0F88AEE1">
            <w:pPr>
              <w:snapToGrid w:val="0"/>
              <w:spacing w:line="360" w:lineRule="auto"/>
              <w:rPr>
                <w:rFonts w:hint="eastAsia" w:ascii="宋体" w:hAnsi="宋体" w:cs="宋体"/>
                <w:sz w:val="21"/>
                <w:szCs w:val="21"/>
              </w:rPr>
            </w:pPr>
            <w:r>
              <w:rPr>
                <w:rFonts w:hint="eastAsia" w:ascii="宋体" w:hAnsi="宋体" w:cs="宋体"/>
                <w:sz w:val="21"/>
                <w:szCs w:val="21"/>
              </w:rPr>
              <w:t>标书资料包含：</w:t>
            </w:r>
          </w:p>
          <w:p w14:paraId="09A998AD">
            <w:pPr>
              <w:snapToGrid w:val="0"/>
              <w:spacing w:line="360" w:lineRule="auto"/>
              <w:rPr>
                <w:rFonts w:hint="eastAsia" w:ascii="宋体" w:hAnsi="宋体" w:cs="宋体"/>
                <w:sz w:val="21"/>
                <w:szCs w:val="21"/>
              </w:rPr>
            </w:pPr>
            <w:r>
              <w:rPr>
                <w:rFonts w:hint="eastAsia" w:ascii="宋体" w:hAnsi="宋体" w:cs="宋体"/>
                <w:sz w:val="21"/>
                <w:szCs w:val="21"/>
              </w:rPr>
              <w:t>投标函、法定代表人身份证明书、投标文件签署授权委托书、投标保证金缴纳证明、报价函、营业执照等资质证明，其他详见第二章《投标文件格式》</w:t>
            </w:r>
          </w:p>
        </w:tc>
      </w:tr>
    </w:tbl>
    <w:p w14:paraId="67B79485">
      <w:pPr>
        <w:pStyle w:val="2"/>
        <w:numPr>
          <w:ilvl w:val="0"/>
          <w:numId w:val="0"/>
        </w:numPr>
        <w:spacing w:before="120" w:beforeLines="50" w:line="360" w:lineRule="auto"/>
        <w:rPr>
          <w:rFonts w:ascii="宋体" w:eastAsia="宋体"/>
          <w:b/>
          <w:bCs/>
          <w:sz w:val="24"/>
          <w:szCs w:val="24"/>
        </w:rPr>
      </w:pPr>
      <w:r>
        <w:rPr>
          <w:rFonts w:ascii="宋体" w:eastAsia="宋体"/>
          <w:b/>
          <w:bCs/>
          <w:sz w:val="24"/>
          <w:szCs w:val="24"/>
        </w:rPr>
        <w:br w:type="page"/>
      </w:r>
      <w:r>
        <w:rPr>
          <w:rFonts w:hint="eastAsia" w:ascii="宋体" w:eastAsia="宋体"/>
          <w:b/>
          <w:bCs/>
          <w:sz w:val="24"/>
          <w:szCs w:val="24"/>
        </w:rPr>
        <w:t>第一章  招标公告</w:t>
      </w:r>
      <w:bookmarkEnd w:id="9"/>
    </w:p>
    <w:p w14:paraId="08C9A290">
      <w:pPr>
        <w:spacing w:line="360" w:lineRule="auto"/>
        <w:ind w:firstLine="420" w:firstLineChars="200"/>
        <w:jc w:val="both"/>
        <w:rPr>
          <w:rFonts w:hint="eastAsia" w:ascii="宋体" w:hAnsi="宋体"/>
          <w:sz w:val="21"/>
          <w:szCs w:val="21"/>
        </w:rPr>
      </w:pPr>
      <w:r>
        <w:rPr>
          <w:rFonts w:hint="eastAsia" w:ascii="宋体" w:hAnsi="宋体"/>
          <w:sz w:val="21"/>
          <w:szCs w:val="21"/>
        </w:rPr>
        <w:t>思念食品有限公司招标部根据公司招标的要求，就</w:t>
      </w:r>
      <w:r>
        <w:rPr>
          <w:rFonts w:hint="eastAsia" w:ascii="宋体" w:hAnsi="宋体"/>
          <w:b/>
          <w:bCs/>
          <w:sz w:val="21"/>
          <w:szCs w:val="21"/>
          <w:u w:val="single"/>
        </w:rPr>
        <w:t>思念食品郑州、遂平、濮阳基地2026年度电力市场绿电交易项目招标</w:t>
      </w:r>
      <w:r>
        <w:rPr>
          <w:rFonts w:hint="eastAsia" w:ascii="宋体" w:hAnsi="宋体"/>
          <w:sz w:val="21"/>
          <w:szCs w:val="21"/>
        </w:rPr>
        <w:t>进行公开招标，现将招标事宜通知如下：</w:t>
      </w:r>
    </w:p>
    <w:p w14:paraId="3A6E2589">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一、招标内容及要求</w:t>
      </w:r>
      <w:r>
        <w:rPr>
          <w:rFonts w:hint="eastAsia" w:ascii="宋体" w:hAnsi="宋体"/>
          <w:b/>
          <w:sz w:val="21"/>
          <w:szCs w:val="21"/>
        </w:rPr>
        <w:t>：</w:t>
      </w:r>
    </w:p>
    <w:p w14:paraId="2EA2CD97">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1、项目名称：思念食品郑州、遂平、濮阳基地2026年度电力市场绿电交易项目招标；</w:t>
      </w:r>
    </w:p>
    <w:p w14:paraId="36B5E502">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2、地点：</w:t>
      </w:r>
      <w:r>
        <w:rPr>
          <w:rFonts w:hint="eastAsia" w:ascii="宋体" w:hAnsi="宋体"/>
          <w:bCs/>
          <w:color w:val="000000"/>
          <w:sz w:val="21"/>
          <w:szCs w:val="21"/>
          <w:lang w:val="en-US" w:eastAsia="zh-CN"/>
        </w:rPr>
        <w:t>郑州</w:t>
      </w:r>
      <w:r>
        <w:rPr>
          <w:rFonts w:hint="eastAsia" w:ascii="宋体" w:hAnsi="宋体"/>
          <w:bCs/>
          <w:color w:val="000000"/>
          <w:sz w:val="21"/>
          <w:szCs w:val="21"/>
        </w:rPr>
        <w:t>；</w:t>
      </w:r>
    </w:p>
    <w:p w14:paraId="7B1F5EA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3、标段划分：项目共分为1个标段，思念食品郑州、遂平、濮阳基地2026年度电力市场绿电交易项目招标；</w:t>
      </w:r>
    </w:p>
    <w:p w14:paraId="3B66A669">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4、项目概况：</w:t>
      </w:r>
    </w:p>
    <w:p w14:paraId="5D947CB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为落实国家“双碳”战略目标，推进企业绿色低碳转型，根据国家发改委、国家能源局印发《关于有序推动绿电直连发展有关事项的通知》及河南省发展改革委印发的《河南省绿证绿电交易工作细则（试行）》，结合公司实际情况，为逐步实现我公司低碳运营、绿色发展目标，立项启动我公司2026年电力市场绿电交易项目，为达成量大特优结果，拟采用郑州基地、遂平及濮阳共同招标模式，预估总用电量为1.3亿kwh，绿电量依据招标结果确定，绿证与绿电匹配提供，并获取对应的碳排放权益。</w:t>
      </w:r>
    </w:p>
    <w:p w14:paraId="365C2949">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5、项目相关要求：</w:t>
      </w:r>
    </w:p>
    <w:p w14:paraId="4B33F774">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5.1供电安全：</w:t>
      </w:r>
    </w:p>
    <w:p w14:paraId="580852A9">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①中标售电公司（以下简称乙方）须全部响应思念食品（以下简称甲方）2026年全年用电量执行市场化交易</w:t>
      </w:r>
    </w:p>
    <w:p w14:paraId="60AD8DD9">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提供近两年度交易电量（（提供河南省电力交易中心“电力交易平台”-“省内中长期交易-结果查询”中选择的“年度双边协商电力直接交易”页面截图，分为常规和分时段，截图需带有省电力交易中心LOGO。）及代理用户交易电价（选取2家即可），对比河南基准电价达成的电价情况。</w:t>
      </w:r>
    </w:p>
    <w:p w14:paraId="4AC55085">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③提供2025年用电量在2亿Kwh以上合作单位合同执行情况（提供3家合同附件）</w:t>
      </w:r>
    </w:p>
    <w:p w14:paraId="050CD9D7">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④提供2025年在电力交易市场的履约保函及履约保证金（5000万元及以上）</w:t>
      </w:r>
    </w:p>
    <w:p w14:paraId="290D0F5E">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5.2电价：</w:t>
      </w:r>
    </w:p>
    <w:p w14:paraId="6776EC7F">
      <w:pPr>
        <w:spacing w:line="360" w:lineRule="auto"/>
        <w:ind w:firstLine="420" w:firstLineChars="200"/>
        <w:jc w:val="both"/>
        <w:rPr>
          <w:rFonts w:hint="default" w:ascii="宋体" w:hAnsi="宋体"/>
          <w:bCs/>
          <w:color w:val="000000"/>
          <w:sz w:val="21"/>
          <w:szCs w:val="21"/>
          <w:lang w:val="en-US" w:eastAsia="zh-CN"/>
        </w:rPr>
      </w:pPr>
      <w:r>
        <w:rPr>
          <w:rFonts w:hint="default" w:ascii="宋体" w:hAnsi="宋体"/>
          <w:bCs/>
          <w:color w:val="000000"/>
          <w:sz w:val="21"/>
          <w:szCs w:val="21"/>
          <w:lang w:val="en-US" w:eastAsia="zh-CN"/>
        </w:rPr>
        <w:t>结合河南省电力市场最新现货交易情况，选用2026年电力交易合同内三种套餐中最优套餐，满足甲方在电量一定的情况下，2026年电价不高于2025年年度结算电价</w:t>
      </w:r>
    </w:p>
    <w:p w14:paraId="34D53902">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5.3绿电：</w:t>
      </w:r>
    </w:p>
    <w:p w14:paraId="21F322D1">
      <w:pPr>
        <w:spacing w:line="360" w:lineRule="auto"/>
        <w:ind w:firstLine="420" w:firstLineChars="200"/>
        <w:jc w:val="both"/>
        <w:rPr>
          <w:rFonts w:hint="default" w:ascii="宋体" w:hAnsi="宋体"/>
          <w:bCs/>
          <w:color w:val="000000"/>
          <w:sz w:val="21"/>
          <w:szCs w:val="21"/>
          <w:lang w:val="en-US" w:eastAsia="zh-CN"/>
        </w:rPr>
      </w:pPr>
      <w:r>
        <w:rPr>
          <w:rFonts w:hint="default" w:ascii="宋体" w:hAnsi="宋体"/>
          <w:bCs/>
          <w:color w:val="000000"/>
          <w:sz w:val="21"/>
          <w:szCs w:val="21"/>
          <w:lang w:val="en-US" w:eastAsia="zh-CN"/>
        </w:rPr>
        <w:t>在套餐相同的基础上，争取更多的绿电，保证满足甲方的全年用电的绿电需求，且各项服务费为零</w:t>
      </w:r>
    </w:p>
    <w:p w14:paraId="1A00ECF8">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5.4绿证：</w:t>
      </w:r>
    </w:p>
    <w:p w14:paraId="1F9D310F">
      <w:pPr>
        <w:spacing w:line="360" w:lineRule="auto"/>
        <w:ind w:firstLine="420" w:firstLineChars="200"/>
        <w:jc w:val="both"/>
        <w:rPr>
          <w:rFonts w:hint="default" w:ascii="宋体" w:hAnsi="宋体"/>
          <w:bCs/>
          <w:color w:val="000000"/>
          <w:sz w:val="21"/>
          <w:szCs w:val="21"/>
          <w:lang w:val="en-US" w:eastAsia="zh-CN"/>
        </w:rPr>
      </w:pPr>
      <w:r>
        <w:rPr>
          <w:rFonts w:hint="default" w:ascii="宋体" w:hAnsi="宋体"/>
          <w:bCs/>
          <w:color w:val="000000"/>
          <w:sz w:val="21"/>
          <w:szCs w:val="21"/>
          <w:lang w:val="en-US" w:eastAsia="zh-CN"/>
        </w:rPr>
        <w:t>为甲方办理国家可再生能源信息管理中心的绿证及电力交易中心颁发的绿色用电凭证，具体数量以绿电交易量为准，甲方不承担绿证的任何额外费用。</w:t>
      </w:r>
    </w:p>
    <w:p w14:paraId="717D3F71">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5.5偏差责任：</w:t>
      </w:r>
    </w:p>
    <w:p w14:paraId="26365CF4">
      <w:pPr>
        <w:spacing w:line="360" w:lineRule="auto"/>
        <w:ind w:firstLine="420" w:firstLineChars="200"/>
        <w:jc w:val="both"/>
        <w:rPr>
          <w:rFonts w:hint="default" w:ascii="宋体" w:hAnsi="宋体"/>
          <w:bCs/>
          <w:color w:val="000000"/>
          <w:sz w:val="21"/>
          <w:szCs w:val="21"/>
          <w:lang w:val="en-US" w:eastAsia="zh-CN"/>
        </w:rPr>
      </w:pPr>
      <w:r>
        <w:rPr>
          <w:rFonts w:hint="default" w:ascii="宋体" w:hAnsi="宋体"/>
          <w:bCs/>
          <w:color w:val="000000"/>
          <w:sz w:val="21"/>
          <w:szCs w:val="21"/>
          <w:lang w:val="en-US" w:eastAsia="zh-CN"/>
        </w:rPr>
        <w:t>甲方不承担月度交易电量的偏差考核，由乙方全部承担</w:t>
      </w:r>
    </w:p>
    <w:p w14:paraId="2E94CDA8">
      <w:pPr>
        <w:numPr>
          <w:ilvl w:val="0"/>
          <w:numId w:val="2"/>
        </w:num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资质要求：</w:t>
      </w:r>
    </w:p>
    <w:p w14:paraId="160E1E6D">
      <w:pPr>
        <w:numPr>
          <w:ilvl w:val="0"/>
          <w:numId w:val="0"/>
        </w:numPr>
        <w:spacing w:line="360" w:lineRule="auto"/>
        <w:ind w:firstLine="42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6.1具备购电、配电、售电业务、电力业务代理服务、国家允许经营的电力相关业务等相关资质</w:t>
      </w:r>
    </w:p>
    <w:p w14:paraId="5C9E6E02">
      <w:pPr>
        <w:numPr>
          <w:ilvl w:val="0"/>
          <w:numId w:val="0"/>
        </w:numPr>
        <w:spacing w:line="360" w:lineRule="auto"/>
        <w:ind w:firstLine="42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6.2具有自有发电厂和新能源发电站或有长协的发电厂和新能源发电站的单位（提供长期合作协议）</w:t>
      </w:r>
    </w:p>
    <w:p w14:paraId="3A97472D">
      <w:pPr>
        <w:numPr>
          <w:ilvl w:val="0"/>
          <w:numId w:val="0"/>
        </w:numPr>
        <w:spacing w:line="360" w:lineRule="auto"/>
        <w:ind w:firstLine="42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6.3售电公司成立两年以上，售电信用等级AA及以上</w:t>
      </w:r>
    </w:p>
    <w:p w14:paraId="2B2032FF">
      <w:pPr>
        <w:numPr>
          <w:ilvl w:val="0"/>
          <w:numId w:val="0"/>
        </w:numPr>
        <w:spacing w:line="360" w:lineRule="auto"/>
        <w:ind w:firstLine="42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6.4具备电力设备维修、新能源技术开发、技术咨询、技术转让、技术服务等相关资质</w:t>
      </w:r>
    </w:p>
    <w:p w14:paraId="7A9E1DE7">
      <w:pPr>
        <w:numPr>
          <w:ilvl w:val="0"/>
          <w:numId w:val="2"/>
        </w:numPr>
        <w:spacing w:line="360" w:lineRule="auto"/>
        <w:ind w:left="0" w:leftChars="0"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增值服务：</w:t>
      </w:r>
    </w:p>
    <w:p w14:paraId="4A16698F">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7.1免费提供高压设备耐压试验（含郑州基地、遂平两个园区及濮阳工厂）并提供可在供电公司备案的合格检测报告</w:t>
      </w:r>
    </w:p>
    <w:p w14:paraId="48C67330">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7.2免费进行3#变高压就地柜户内真空负荷开关（FZRN25-12D/T125-31.5）及2#中心配1#变低压主进断路器(SDW1-2000/3 1600A )更换</w:t>
      </w:r>
    </w:p>
    <w:p w14:paraId="3D2D37B5">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7.3免费提供高低压配电系统技术服务及指导，疑难故障处理</w:t>
      </w:r>
    </w:p>
    <w:p w14:paraId="35BB4846">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7.4免费提供综合用电节能管理及节能分析投资服务</w:t>
      </w:r>
    </w:p>
    <w:p w14:paraId="15343320">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7.5免费提供新能源开发及技术指导</w:t>
      </w:r>
    </w:p>
    <w:p w14:paraId="5591EEB6">
      <w:pPr>
        <w:numPr>
          <w:ilvl w:val="0"/>
          <w:numId w:val="0"/>
        </w:numPr>
        <w:spacing w:line="360" w:lineRule="auto"/>
        <w:ind w:left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7.6免费提供高低压设备及线路突发故障处理</w:t>
      </w:r>
    </w:p>
    <w:p w14:paraId="08D4D161">
      <w:pPr>
        <w:numPr>
          <w:ilvl w:val="0"/>
          <w:numId w:val="0"/>
        </w:numPr>
        <w:spacing w:line="360" w:lineRule="auto"/>
        <w:ind w:leftChars="200"/>
        <w:jc w:val="both"/>
        <w:rPr>
          <w:rFonts w:hint="default" w:ascii="宋体" w:hAnsi="宋体"/>
          <w:bCs/>
          <w:color w:val="000000"/>
          <w:sz w:val="21"/>
          <w:szCs w:val="21"/>
          <w:lang w:val="en-US" w:eastAsia="zh-CN"/>
        </w:rPr>
      </w:pPr>
      <w:r>
        <w:rPr>
          <w:rFonts w:hint="eastAsia" w:ascii="宋体" w:hAnsi="宋体"/>
          <w:bCs/>
          <w:color w:val="000000"/>
          <w:sz w:val="21"/>
          <w:szCs w:val="21"/>
          <w:lang w:val="en-US" w:eastAsia="zh-CN"/>
        </w:rPr>
        <w:t>7.7其他可执行增值服务项目（如协助我公司在电力交易平台开通碳排放交易账户）</w:t>
      </w:r>
    </w:p>
    <w:p w14:paraId="1B5AC7B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、投标及报价要求：</w:t>
      </w:r>
    </w:p>
    <w:p w14:paraId="04AD80B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.1投标单位需按格式要求编制投标文件；（投标方可投报其中一个或多个标段）</w:t>
      </w:r>
    </w:p>
    <w:p w14:paraId="0F2FCB4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.2中标方不得将承包范围转包、分包或委托第三人，否则，视为严重违约，招标人有权拒付合同款项有权即时解除合同。</w:t>
      </w:r>
    </w:p>
    <w:p w14:paraId="3795C0E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.3报价要求：投标单位需考虑投入的人工/设备/运输等成本、现场踏勘、其他风险、税率等产生的综合费用，按照报价单要求进行报价。</w:t>
      </w:r>
    </w:p>
    <w:p w14:paraId="07171A0B">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9</w:t>
      </w:r>
      <w:r>
        <w:rPr>
          <w:rFonts w:hint="eastAsia" w:ascii="宋体" w:hAnsi="宋体"/>
          <w:bCs/>
          <w:color w:val="000000"/>
          <w:sz w:val="21"/>
          <w:szCs w:val="21"/>
        </w:rPr>
        <w:t xml:space="preserve">、付款周期及方式： </w:t>
      </w:r>
    </w:p>
    <w:p w14:paraId="1C4ED896">
      <w:pPr>
        <w:keepNext w:val="0"/>
        <w:keepLines w:val="0"/>
        <w:widowControl/>
        <w:suppressLineNumbers w:val="0"/>
        <w:spacing w:before="0" w:beforeAutospacing="0" w:after="0" w:afterAutospacing="0"/>
        <w:ind w:left="0" w:right="0" w:firstLine="420" w:firstLineChars="200"/>
        <w:jc w:val="left"/>
        <w:rPr>
          <w:rFonts w:hint="eastAsia" w:ascii="宋体" w:hAnsi="宋体"/>
          <w:bCs/>
          <w:color w:val="000000"/>
          <w:sz w:val="21"/>
          <w:szCs w:val="21"/>
        </w:rPr>
      </w:pPr>
      <w:r>
        <w:rPr>
          <w:rFonts w:hint="eastAsia" w:ascii="宋体" w:hAnsi="宋体"/>
          <w:bCs/>
          <w:color w:val="000000"/>
          <w:sz w:val="21"/>
          <w:szCs w:val="21"/>
          <w:lang w:val="en-US" w:eastAsia="zh-CN"/>
        </w:rPr>
        <w:t>9</w:t>
      </w:r>
      <w:r>
        <w:rPr>
          <w:rFonts w:hint="eastAsia" w:ascii="宋体" w:hAnsi="宋体"/>
          <w:bCs/>
          <w:color w:val="000000"/>
          <w:sz w:val="21"/>
          <w:szCs w:val="21"/>
        </w:rPr>
        <w:t>.1付款周期：</w:t>
      </w:r>
      <w:r>
        <w:rPr>
          <w:rFonts w:hint="eastAsia" w:ascii="宋体" w:hAnsi="宋体" w:eastAsia="宋体" w:cs="宋体"/>
          <w:b w:val="0"/>
          <w:bCs/>
          <w:color w:val="000000"/>
          <w:kern w:val="0"/>
          <w:sz w:val="21"/>
          <w:szCs w:val="21"/>
          <w:lang w:val="en-US" w:eastAsia="zh-CN" w:bidi="ar"/>
        </w:rPr>
        <w:t>具体以谈判为准（后期在合同中约定）</w:t>
      </w:r>
    </w:p>
    <w:p w14:paraId="17D7BC00">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9</w:t>
      </w:r>
      <w:r>
        <w:rPr>
          <w:rFonts w:hint="eastAsia" w:ascii="宋体" w:hAnsi="宋体"/>
          <w:bCs/>
          <w:color w:val="000000"/>
          <w:sz w:val="21"/>
          <w:szCs w:val="21"/>
        </w:rPr>
        <w:t>.2付款方式：公对公转账。</w:t>
      </w:r>
    </w:p>
    <w:p w14:paraId="4A5406B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10</w:t>
      </w:r>
      <w:r>
        <w:rPr>
          <w:rFonts w:hint="eastAsia" w:ascii="宋体" w:hAnsi="宋体"/>
          <w:bCs/>
          <w:color w:val="000000"/>
          <w:sz w:val="21"/>
          <w:szCs w:val="21"/>
        </w:rPr>
        <w:t>、发票要求：提供增值税专用发票；</w:t>
      </w:r>
    </w:p>
    <w:p w14:paraId="14939073">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二、投标单位资格要求：</w:t>
      </w:r>
    </w:p>
    <w:p w14:paraId="7C19550E">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1、营业执照</w:t>
      </w:r>
      <w:r>
        <w:rPr>
          <w:rFonts w:hint="eastAsia" w:ascii="宋体" w:hAnsi="宋体"/>
          <w:bCs/>
          <w:color w:val="000000"/>
          <w:sz w:val="21"/>
          <w:szCs w:val="21"/>
        </w:rPr>
        <w:t>：需在中华人民共和国境内具有</w:t>
      </w:r>
      <w:r>
        <w:rPr>
          <w:rFonts w:hint="eastAsia" w:ascii="宋体" w:hAnsi="宋体"/>
          <w:b/>
          <w:color w:val="000000"/>
          <w:sz w:val="21"/>
          <w:szCs w:val="21"/>
        </w:rPr>
        <w:t>独立法人资格</w:t>
      </w:r>
      <w:r>
        <w:rPr>
          <w:rFonts w:hint="eastAsia" w:ascii="宋体" w:hAnsi="宋体"/>
          <w:bCs/>
          <w:color w:val="000000"/>
          <w:sz w:val="21"/>
          <w:szCs w:val="21"/>
        </w:rPr>
        <w:t>，具有有效期内的营业执照，法人无不良记录；</w:t>
      </w:r>
    </w:p>
    <w:p w14:paraId="72E0ECA6">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2、</w:t>
      </w:r>
      <w:r>
        <w:rPr>
          <w:rFonts w:hint="eastAsia" w:ascii="宋体" w:hAnsi="宋体"/>
          <w:bCs/>
          <w:color w:val="000000"/>
          <w:sz w:val="21"/>
          <w:szCs w:val="21"/>
        </w:rPr>
        <w:t>单位负责人为同一人或者存在控股、管理关系的不同单位，不得参与同一标段或者未划分标段的同一招标项目投标；</w:t>
      </w:r>
    </w:p>
    <w:p w14:paraId="39E3922B">
      <w:pPr>
        <w:numPr>
          <w:ilvl w:val="0"/>
          <w:numId w:val="3"/>
        </w:numPr>
        <w:spacing w:line="360" w:lineRule="auto"/>
        <w:ind w:firstLine="422" w:firstLineChars="200"/>
        <w:jc w:val="both"/>
        <w:rPr>
          <w:rFonts w:hint="eastAsia" w:ascii="宋体" w:hAnsi="宋体"/>
          <w:sz w:val="21"/>
          <w:szCs w:val="21"/>
        </w:rPr>
      </w:pPr>
      <w:r>
        <w:rPr>
          <w:rFonts w:hint="eastAsia" w:ascii="宋体" w:hAnsi="宋体"/>
          <w:b/>
          <w:color w:val="000000"/>
          <w:sz w:val="21"/>
          <w:szCs w:val="21"/>
        </w:rPr>
        <w:t>投标报名：</w:t>
      </w:r>
    </w:p>
    <w:p w14:paraId="6A6B4AD1">
      <w:pPr>
        <w:spacing w:line="360" w:lineRule="auto"/>
        <w:ind w:firstLine="420" w:firstLineChars="200"/>
        <w:jc w:val="both"/>
        <w:rPr>
          <w:rFonts w:hint="eastAsia" w:ascii="宋体" w:hAnsi="宋体"/>
          <w:sz w:val="21"/>
          <w:szCs w:val="21"/>
        </w:rPr>
      </w:pPr>
      <w:r>
        <w:rPr>
          <w:rFonts w:hint="eastAsia" w:ascii="宋体" w:hAnsi="宋体"/>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hint="eastAsia" w:ascii="宋体" w:hAnsi="宋体"/>
          <w:b/>
          <w:bCs/>
          <w:sz w:val="21"/>
          <w:szCs w:val="21"/>
          <w:lang w:eastAsia="zh-CN"/>
        </w:rPr>
        <w:t>、</w:t>
      </w:r>
      <w:r>
        <w:rPr>
          <w:rFonts w:hint="eastAsia" w:ascii="宋体" w:hAnsi="宋体"/>
          <w:b/>
          <w:bCs/>
          <w:sz w:val="21"/>
          <w:szCs w:val="21"/>
          <w:lang w:val="en-US" w:eastAsia="zh-CN"/>
        </w:rPr>
        <w:t>2A认证</w:t>
      </w:r>
      <w:r>
        <w:rPr>
          <w:rFonts w:hint="eastAsia" w:ascii="宋体" w:hAnsi="宋体"/>
          <w:b/>
          <w:bCs/>
          <w:sz w:val="21"/>
          <w:szCs w:val="21"/>
        </w:rPr>
        <w:t>等；</w:t>
      </w:r>
    </w:p>
    <w:p w14:paraId="312233E8">
      <w:pPr>
        <w:spacing w:line="360" w:lineRule="auto"/>
        <w:ind w:firstLine="420" w:firstLineChars="200"/>
        <w:jc w:val="both"/>
        <w:rPr>
          <w:rFonts w:hint="eastAsia" w:ascii="宋体" w:hAnsi="宋体"/>
          <w:sz w:val="21"/>
          <w:szCs w:val="21"/>
        </w:rPr>
      </w:pPr>
      <w:r>
        <w:rPr>
          <w:rFonts w:hint="eastAsia" w:ascii="宋体" w:hAnsi="宋体"/>
          <w:sz w:val="21"/>
          <w:szCs w:val="21"/>
        </w:rPr>
        <w:t>3.2、报名时间：</w:t>
      </w:r>
      <w:r>
        <w:rPr>
          <w:rFonts w:hint="eastAsia" w:ascii="宋体" w:hAnsi="宋体"/>
          <w:b/>
          <w:bCs/>
          <w:sz w:val="21"/>
          <w:szCs w:val="21"/>
        </w:rPr>
        <w:t>2025年</w:t>
      </w:r>
      <w:r>
        <w:rPr>
          <w:rFonts w:hint="eastAsia" w:ascii="宋体" w:hAnsi="宋体"/>
          <w:b/>
          <w:bCs/>
          <w:sz w:val="21"/>
          <w:szCs w:val="21"/>
          <w:lang w:val="en-US" w:eastAsia="zh-CN"/>
        </w:rPr>
        <w:t>12</w:t>
      </w:r>
      <w:r>
        <w:rPr>
          <w:rFonts w:hint="eastAsia" w:ascii="宋体" w:hAnsi="宋体"/>
          <w:b/>
          <w:bCs/>
          <w:sz w:val="21"/>
          <w:szCs w:val="21"/>
        </w:rPr>
        <w:t>月</w:t>
      </w:r>
      <w:r>
        <w:rPr>
          <w:rFonts w:hint="eastAsia" w:ascii="宋体" w:hAnsi="宋体"/>
          <w:b/>
          <w:bCs/>
          <w:sz w:val="21"/>
          <w:szCs w:val="21"/>
          <w:lang w:val="en-US" w:eastAsia="zh-CN"/>
        </w:rPr>
        <w:t>1</w:t>
      </w:r>
      <w:r>
        <w:rPr>
          <w:rFonts w:hint="eastAsia" w:ascii="宋体" w:hAnsi="宋体"/>
          <w:b/>
          <w:bCs/>
          <w:sz w:val="21"/>
          <w:szCs w:val="21"/>
        </w:rPr>
        <w:t>日--2025年</w:t>
      </w:r>
      <w:r>
        <w:rPr>
          <w:rFonts w:hint="eastAsia" w:ascii="宋体" w:hAnsi="宋体"/>
          <w:b/>
          <w:bCs/>
          <w:sz w:val="21"/>
          <w:szCs w:val="21"/>
          <w:lang w:val="en-US" w:eastAsia="zh-CN"/>
        </w:rPr>
        <w:t>12</w:t>
      </w:r>
      <w:r>
        <w:rPr>
          <w:rFonts w:hint="eastAsia" w:ascii="宋体" w:hAnsi="宋体"/>
          <w:b/>
          <w:bCs/>
          <w:sz w:val="21"/>
          <w:szCs w:val="21"/>
        </w:rPr>
        <w:t>月</w:t>
      </w:r>
      <w:r>
        <w:rPr>
          <w:rFonts w:hint="eastAsia" w:ascii="宋体" w:hAnsi="宋体"/>
          <w:b/>
          <w:bCs/>
          <w:sz w:val="21"/>
          <w:szCs w:val="21"/>
          <w:lang w:val="en-US" w:eastAsia="zh-CN"/>
        </w:rPr>
        <w:t>10</w:t>
      </w:r>
      <w:r>
        <w:rPr>
          <w:rFonts w:hint="eastAsia" w:ascii="宋体" w:hAnsi="宋体"/>
          <w:b/>
          <w:bCs/>
          <w:sz w:val="21"/>
          <w:szCs w:val="21"/>
        </w:rPr>
        <w:t>日</w:t>
      </w:r>
      <w:r>
        <w:rPr>
          <w:rFonts w:hint="eastAsia" w:ascii="宋体" w:hAnsi="宋体"/>
          <w:sz w:val="21"/>
          <w:szCs w:val="21"/>
        </w:rPr>
        <w:t>，上午9时00分—12时00分，下午14时00分—17时30分（节假日除外）；</w:t>
      </w:r>
    </w:p>
    <w:p w14:paraId="082E080D">
      <w:pPr>
        <w:spacing w:line="360" w:lineRule="auto"/>
        <w:ind w:firstLine="420" w:firstLineChars="200"/>
        <w:rPr>
          <w:rFonts w:hint="eastAsia" w:ascii="宋体" w:hAnsi="宋体"/>
          <w:b/>
          <w:bCs/>
          <w:sz w:val="21"/>
          <w:szCs w:val="21"/>
        </w:rPr>
      </w:pPr>
      <w:r>
        <w:rPr>
          <w:rFonts w:hint="eastAsia" w:ascii="宋体" w:hAnsi="宋体"/>
          <w:sz w:val="21"/>
          <w:szCs w:val="21"/>
        </w:rPr>
        <w:t>3.3、报名方式：请投标单位在报名时间内，委托授权代表</w:t>
      </w:r>
      <w:r>
        <w:rPr>
          <w:rFonts w:hint="eastAsia" w:ascii="宋体" w:hAnsi="宋体"/>
          <w:b/>
          <w:bCs/>
          <w:sz w:val="21"/>
          <w:szCs w:val="21"/>
        </w:rPr>
        <w:t>用个人微信扫描二维码提交以上报名资料，并同步发送邮箱：</w:t>
      </w:r>
      <w:r>
        <w:rPr>
          <w:rFonts w:ascii="宋体" w:hAnsi="宋体"/>
          <w:b/>
          <w:bCs/>
          <w:sz w:val="21"/>
          <w:szCs w:val="21"/>
        </w:rPr>
        <w:t>qinweiqi@synear.com</w:t>
      </w:r>
      <w:r>
        <w:rPr>
          <w:rFonts w:hint="eastAsia" w:ascii="宋体" w:hAnsi="宋体"/>
          <w:b/>
          <w:bCs/>
          <w:sz w:val="21"/>
          <w:szCs w:val="21"/>
        </w:rPr>
        <w:t>一份扫描件；</w:t>
      </w:r>
    </w:p>
    <w:p w14:paraId="68F79A1C">
      <w:pPr>
        <w:spacing w:line="360" w:lineRule="auto"/>
        <w:ind w:firstLine="420" w:firstLineChars="200"/>
        <w:rPr>
          <w:rFonts w:hint="eastAsia" w:ascii="宋体" w:hAnsi="宋体"/>
          <w:sz w:val="21"/>
          <w:szCs w:val="21"/>
        </w:rPr>
      </w:pPr>
      <w:r>
        <w:rPr>
          <w:rFonts w:hint="eastAsia" w:ascii="宋体" w:hAnsi="宋体" w:cs="宋体"/>
          <w:sz w:val="21"/>
          <w:szCs w:val="21"/>
          <w:highlight w:val="yellow"/>
        </w:rPr>
        <w:t>（注：投标单位</w:t>
      </w:r>
      <w:r>
        <w:rPr>
          <w:rFonts w:hint="eastAsia" w:ascii="宋体" w:hAnsi="宋体"/>
          <w:sz w:val="21"/>
          <w:szCs w:val="21"/>
          <w:highlight w:val="yellow"/>
        </w:rPr>
        <w:t>提交信息务必准确，</w:t>
      </w:r>
      <w:r>
        <w:rPr>
          <w:rFonts w:hint="eastAsia" w:ascii="宋体" w:hAnsi="宋体" w:cs="宋体"/>
          <w:sz w:val="21"/>
          <w:szCs w:val="21"/>
          <w:highlight w:val="yellow"/>
        </w:rPr>
        <w:t>报名资料通过审核后，我司以邮箱形式发送招标文件等资料；报名资料审核未通过的单位不能参与本次投标；）</w:t>
      </w:r>
    </w:p>
    <w:p w14:paraId="7DE017A2">
      <w:pPr>
        <w:pStyle w:val="9"/>
        <w:ind w:firstLine="0" w:firstLineChars="0"/>
        <w:jc w:val="center"/>
        <w:rPr>
          <w:rFonts w:hint="eastAsia" w:eastAsia="宋体"/>
          <w:lang w:eastAsia="zh-CN"/>
        </w:rPr>
      </w:pPr>
      <w:r>
        <w:rPr>
          <w:rFonts w:hint="eastAsia" w:eastAsia="宋体"/>
          <w:lang w:eastAsia="zh-CN"/>
        </w:rPr>
        <w:drawing>
          <wp:inline distT="0" distB="0" distL="114300" distR="114300">
            <wp:extent cx="1505585" cy="1456690"/>
            <wp:effectExtent l="0" t="0" r="18415" b="10160"/>
            <wp:docPr id="3" name="图片 3" descr="5fab3c0f-54d4-4aeb-85eb-1e5c033d4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ab3c0f-54d4-4aeb-85eb-1e5c033d4a13"/>
                    <pic:cNvPicPr>
                      <a:picLocks noChangeAspect="1"/>
                    </pic:cNvPicPr>
                  </pic:nvPicPr>
                  <pic:blipFill>
                    <a:blip r:embed="rId9"/>
                    <a:stretch>
                      <a:fillRect/>
                    </a:stretch>
                  </pic:blipFill>
                  <pic:spPr>
                    <a:xfrm>
                      <a:off x="0" y="0"/>
                      <a:ext cx="1505585" cy="1456690"/>
                    </a:xfrm>
                    <a:prstGeom prst="rect">
                      <a:avLst/>
                    </a:prstGeom>
                  </pic:spPr>
                </pic:pic>
              </a:graphicData>
            </a:graphic>
          </wp:inline>
        </w:drawing>
      </w:r>
    </w:p>
    <w:p w14:paraId="18F79E89">
      <w:pPr>
        <w:pStyle w:val="9"/>
        <w:ind w:firstLine="0" w:firstLineChars="0"/>
        <w:jc w:val="center"/>
      </w:pPr>
    </w:p>
    <w:p w14:paraId="6E89AAD5">
      <w:pPr>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rPr>
        <w:t>四、投标保证金：</w:t>
      </w:r>
    </w:p>
    <w:p w14:paraId="326BAF02">
      <w:pPr>
        <w:spacing w:line="360" w:lineRule="auto"/>
        <w:ind w:firstLine="460" w:firstLineChars="200"/>
        <w:jc w:val="both"/>
        <w:rPr>
          <w:rFonts w:hint="eastAsia" w:ascii="宋体" w:hAnsi="宋体"/>
          <w:spacing w:val="10"/>
          <w:kern w:val="24"/>
          <w:sz w:val="21"/>
          <w:szCs w:val="21"/>
        </w:rPr>
      </w:pPr>
      <w:r>
        <w:rPr>
          <w:rFonts w:hint="eastAsia" w:ascii="宋体" w:hAnsi="宋体"/>
          <w:bCs/>
          <w:spacing w:val="10"/>
          <w:kern w:val="24"/>
          <w:sz w:val="21"/>
          <w:szCs w:val="21"/>
        </w:rPr>
        <w:t>1、</w:t>
      </w:r>
      <w:r>
        <w:rPr>
          <w:rFonts w:hint="eastAsia" w:ascii="宋体" w:hAnsi="宋体"/>
          <w:spacing w:val="10"/>
          <w:kern w:val="24"/>
          <w:sz w:val="21"/>
          <w:szCs w:val="21"/>
        </w:rPr>
        <w:t>开标前,各投标单位需缴纳投标保证金人民币</w:t>
      </w:r>
      <w:r>
        <w:rPr>
          <w:rFonts w:hint="eastAsia" w:ascii="宋体" w:hAnsi="宋体"/>
          <w:b/>
          <w:bCs/>
          <w:spacing w:val="10"/>
          <w:kern w:val="24"/>
          <w:sz w:val="21"/>
          <w:szCs w:val="21"/>
          <w:u w:val="single"/>
        </w:rPr>
        <w:t>1000</w:t>
      </w:r>
      <w:r>
        <w:rPr>
          <w:rFonts w:hint="eastAsia" w:ascii="宋体" w:hAnsi="宋体"/>
          <w:b/>
          <w:bCs/>
          <w:spacing w:val="10"/>
          <w:kern w:val="24"/>
          <w:sz w:val="21"/>
          <w:szCs w:val="21"/>
          <w:u w:val="single"/>
          <w:lang w:val="en-US" w:eastAsia="zh-CN"/>
        </w:rPr>
        <w:t>0</w:t>
      </w:r>
      <w:r>
        <w:rPr>
          <w:rFonts w:hint="eastAsia" w:ascii="宋体" w:hAnsi="宋体"/>
          <w:b/>
          <w:bCs/>
          <w:spacing w:val="10"/>
          <w:kern w:val="24"/>
          <w:sz w:val="21"/>
          <w:szCs w:val="21"/>
          <w:u w:val="single"/>
        </w:rPr>
        <w:t>0</w:t>
      </w:r>
      <w:r>
        <w:rPr>
          <w:rFonts w:hint="eastAsia" w:ascii="宋体" w:hAnsi="宋体"/>
          <w:b/>
          <w:spacing w:val="10"/>
          <w:kern w:val="24"/>
          <w:sz w:val="21"/>
          <w:szCs w:val="21"/>
        </w:rPr>
        <w:t>元</w:t>
      </w:r>
      <w:r>
        <w:rPr>
          <w:rFonts w:hint="eastAsia" w:ascii="宋体" w:hAnsi="宋体"/>
          <w:b/>
          <w:bCs/>
          <w:spacing w:val="10"/>
          <w:kern w:val="24"/>
          <w:sz w:val="21"/>
          <w:szCs w:val="21"/>
        </w:rPr>
        <w:t>（</w:t>
      </w:r>
      <w:r>
        <w:rPr>
          <w:rFonts w:hint="eastAsia" w:ascii="宋体" w:hAnsi="宋体"/>
          <w:b/>
          <w:bCs/>
          <w:spacing w:val="10"/>
          <w:kern w:val="24"/>
          <w:sz w:val="21"/>
          <w:szCs w:val="21"/>
          <w:u w:val="single"/>
        </w:rPr>
        <w:t>大写：</w:t>
      </w:r>
      <w:r>
        <w:rPr>
          <w:rFonts w:hint="eastAsia" w:ascii="宋体" w:hAnsi="宋体"/>
          <w:b/>
          <w:bCs/>
          <w:spacing w:val="10"/>
          <w:kern w:val="24"/>
          <w:sz w:val="21"/>
          <w:szCs w:val="21"/>
          <w:u w:val="single"/>
          <w:lang w:val="en-US" w:eastAsia="zh-CN"/>
        </w:rPr>
        <w:t>拾</w:t>
      </w:r>
      <w:r>
        <w:rPr>
          <w:rFonts w:hint="eastAsia" w:ascii="宋体" w:hAnsi="宋体"/>
          <w:b/>
          <w:bCs/>
          <w:spacing w:val="10"/>
          <w:kern w:val="24"/>
          <w:sz w:val="21"/>
          <w:szCs w:val="21"/>
          <w:u w:val="single"/>
        </w:rPr>
        <w:t>万元整</w:t>
      </w:r>
      <w:r>
        <w:rPr>
          <w:rFonts w:hint="eastAsia" w:ascii="宋体" w:hAnsi="宋体"/>
          <w:b/>
          <w:bCs/>
          <w:spacing w:val="10"/>
          <w:kern w:val="24"/>
          <w:sz w:val="21"/>
          <w:szCs w:val="21"/>
        </w:rPr>
        <w:t>）</w:t>
      </w:r>
      <w:r>
        <w:rPr>
          <w:rFonts w:hint="eastAsia" w:ascii="宋体" w:hAnsi="宋体"/>
          <w:spacing w:val="10"/>
          <w:kern w:val="24"/>
          <w:sz w:val="21"/>
          <w:szCs w:val="21"/>
        </w:rPr>
        <w:t>。</w:t>
      </w:r>
    </w:p>
    <w:p w14:paraId="68259C7E">
      <w:pPr>
        <w:spacing w:line="360" w:lineRule="auto"/>
        <w:ind w:firstLine="460" w:firstLineChars="200"/>
        <w:jc w:val="both"/>
        <w:rPr>
          <w:rFonts w:hint="eastAsia" w:ascii="宋体" w:hAnsi="宋体"/>
          <w:spacing w:val="10"/>
          <w:kern w:val="24"/>
          <w:sz w:val="21"/>
          <w:szCs w:val="21"/>
        </w:rPr>
      </w:pPr>
      <w:r>
        <w:rPr>
          <w:rFonts w:hint="eastAsia" w:ascii="宋体" w:hAnsi="宋体"/>
          <w:spacing w:val="10"/>
          <w:kern w:val="24"/>
          <w:sz w:val="21"/>
          <w:szCs w:val="21"/>
        </w:rPr>
        <w:t>2、投标保证金缴纳方式：详见招标文件；</w:t>
      </w:r>
    </w:p>
    <w:p w14:paraId="05F17388">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五、投标截止时间及地点：</w:t>
      </w:r>
    </w:p>
    <w:p w14:paraId="1AE9CF26">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1.时间（同开标时间）：2025年1</w:t>
      </w:r>
      <w:r>
        <w:rPr>
          <w:rFonts w:hint="eastAsia" w:ascii="宋体" w:hAnsi="宋体"/>
          <w:b/>
          <w:color w:val="000000"/>
          <w:sz w:val="21"/>
          <w:szCs w:val="21"/>
          <w:lang w:val="en-US" w:eastAsia="zh-CN"/>
        </w:rPr>
        <w:t>2</w:t>
      </w:r>
      <w:r>
        <w:rPr>
          <w:rFonts w:hint="eastAsia" w:ascii="宋体" w:hAnsi="宋体"/>
          <w:b/>
          <w:color w:val="000000"/>
          <w:sz w:val="21"/>
          <w:szCs w:val="21"/>
        </w:rPr>
        <w:t>月</w:t>
      </w:r>
      <w:r>
        <w:rPr>
          <w:rFonts w:hint="eastAsia" w:ascii="宋体" w:hAnsi="宋体"/>
          <w:b/>
          <w:color w:val="000000"/>
          <w:sz w:val="21"/>
          <w:szCs w:val="21"/>
          <w:lang w:val="en-US" w:eastAsia="zh-CN"/>
        </w:rPr>
        <w:t>11</w:t>
      </w:r>
      <w:r>
        <w:rPr>
          <w:rFonts w:hint="eastAsia" w:ascii="宋体" w:hAnsi="宋体"/>
          <w:b/>
          <w:color w:val="000000"/>
          <w:sz w:val="21"/>
          <w:szCs w:val="21"/>
        </w:rPr>
        <w:t>日上午9：30；</w:t>
      </w:r>
    </w:p>
    <w:p w14:paraId="16BC94C3">
      <w:pPr>
        <w:spacing w:line="360" w:lineRule="auto"/>
        <w:ind w:firstLine="422" w:firstLineChars="200"/>
        <w:jc w:val="both"/>
        <w:rPr>
          <w:rFonts w:hint="eastAsia" w:ascii="宋体" w:hAnsi="宋体"/>
          <w:color w:val="000000"/>
          <w:sz w:val="21"/>
          <w:szCs w:val="21"/>
        </w:rPr>
      </w:pPr>
      <w:r>
        <w:rPr>
          <w:rFonts w:hint="eastAsia" w:ascii="宋体" w:hAnsi="宋体"/>
          <w:b/>
          <w:color w:val="000000"/>
          <w:sz w:val="21"/>
          <w:szCs w:val="21"/>
        </w:rPr>
        <w:t>2.地点（同开标地点）：郑州市惠济区英才街13号</w:t>
      </w:r>
      <w:r>
        <w:rPr>
          <w:rFonts w:hint="eastAsia" w:ascii="宋体" w:hAnsi="宋体"/>
          <w:color w:val="000000"/>
          <w:sz w:val="21"/>
          <w:szCs w:val="21"/>
        </w:rPr>
        <w:t>（具体以开标前电话及邮件通知为准）。</w:t>
      </w:r>
    </w:p>
    <w:p w14:paraId="5BA3B9E8">
      <w:pPr>
        <w:spacing w:line="360" w:lineRule="auto"/>
        <w:ind w:firstLine="420" w:firstLineChars="200"/>
        <w:jc w:val="both"/>
      </w:pPr>
      <w:r>
        <w:rPr>
          <w:rFonts w:hint="eastAsia" w:ascii="宋体" w:hAnsi="宋体"/>
          <w:color w:val="000000"/>
          <w:sz w:val="21"/>
          <w:szCs w:val="21"/>
        </w:rPr>
        <w:t>注：所有投标人的法定代表人或法定代表人委托代理人必须准时参加，否则所递交的投标文件将被视为无效投标文件予以退回。</w:t>
      </w:r>
    </w:p>
    <w:p w14:paraId="331FD48C">
      <w:pPr>
        <w:spacing w:line="360" w:lineRule="auto"/>
        <w:ind w:firstLine="422" w:firstLineChars="200"/>
        <w:jc w:val="both"/>
        <w:rPr>
          <w:rFonts w:hint="eastAsia" w:ascii="宋体" w:hAnsi="宋体"/>
          <w:b/>
          <w:sz w:val="21"/>
          <w:szCs w:val="21"/>
        </w:rPr>
      </w:pPr>
      <w:r>
        <w:rPr>
          <w:rFonts w:hint="eastAsia" w:ascii="宋体" w:hAnsi="宋体"/>
          <w:b/>
          <w:sz w:val="21"/>
          <w:szCs w:val="21"/>
        </w:rPr>
        <w:t>六、凡对本次招标提出询问，请按照以下方式联系：</w:t>
      </w:r>
    </w:p>
    <w:p w14:paraId="6729BB79">
      <w:pPr>
        <w:spacing w:line="360" w:lineRule="auto"/>
        <w:ind w:firstLine="422" w:firstLineChars="200"/>
        <w:jc w:val="both"/>
        <w:rPr>
          <w:rFonts w:hint="eastAsia" w:ascii="宋体" w:hAnsi="宋体"/>
          <w:b/>
          <w:sz w:val="21"/>
          <w:szCs w:val="21"/>
        </w:rPr>
      </w:pPr>
      <w:r>
        <w:rPr>
          <w:rFonts w:hint="eastAsia" w:ascii="宋体" w:hAnsi="宋体"/>
          <w:b/>
          <w:sz w:val="21"/>
          <w:szCs w:val="21"/>
        </w:rPr>
        <w:t>1.思念食品招标部</w:t>
      </w:r>
    </w:p>
    <w:p w14:paraId="470A0F23">
      <w:pPr>
        <w:spacing w:line="360" w:lineRule="auto"/>
        <w:ind w:firstLine="422" w:firstLineChars="200"/>
        <w:jc w:val="both"/>
        <w:rPr>
          <w:rFonts w:hint="eastAsia" w:ascii="宋体" w:hAnsi="宋体"/>
          <w:b/>
          <w:sz w:val="21"/>
          <w:szCs w:val="21"/>
        </w:rPr>
      </w:pPr>
      <w:r>
        <w:rPr>
          <w:rFonts w:hint="eastAsia" w:ascii="宋体" w:hAnsi="宋体"/>
          <w:b/>
          <w:sz w:val="21"/>
          <w:szCs w:val="21"/>
        </w:rPr>
        <w:t>联系人：秦为齐</w:t>
      </w:r>
    </w:p>
    <w:p w14:paraId="67F3870E">
      <w:pPr>
        <w:spacing w:line="360" w:lineRule="auto"/>
        <w:ind w:firstLine="422" w:firstLineChars="200"/>
        <w:jc w:val="both"/>
        <w:rPr>
          <w:rFonts w:hint="eastAsia" w:ascii="宋体" w:hAnsi="宋体"/>
          <w:b/>
          <w:sz w:val="21"/>
          <w:szCs w:val="21"/>
        </w:rPr>
      </w:pPr>
      <w:r>
        <w:rPr>
          <w:rFonts w:hint="eastAsia" w:ascii="宋体" w:hAnsi="宋体"/>
          <w:b/>
          <w:sz w:val="21"/>
          <w:szCs w:val="21"/>
        </w:rPr>
        <w:t>联系方式：18239979660</w:t>
      </w:r>
    </w:p>
    <w:p w14:paraId="04912005">
      <w:pPr>
        <w:spacing w:line="360" w:lineRule="auto"/>
        <w:ind w:firstLine="422" w:firstLineChars="200"/>
        <w:jc w:val="both"/>
        <w:rPr>
          <w:rFonts w:hint="eastAsia" w:ascii="宋体" w:hAnsi="宋体"/>
          <w:b/>
          <w:sz w:val="21"/>
          <w:szCs w:val="21"/>
        </w:rPr>
      </w:pPr>
      <w:r>
        <w:rPr>
          <w:rFonts w:hint="eastAsia" w:ascii="宋体" w:hAnsi="宋体"/>
          <w:b/>
          <w:sz w:val="21"/>
          <w:szCs w:val="21"/>
        </w:rPr>
        <w:t>邮箱：</w:t>
      </w:r>
      <w:r>
        <w:rPr>
          <w:rFonts w:ascii="宋体" w:hAnsi="宋体"/>
          <w:b/>
          <w:sz w:val="21"/>
          <w:szCs w:val="21"/>
        </w:rPr>
        <w:t>qinweiqi@synear.com</w:t>
      </w:r>
    </w:p>
    <w:p w14:paraId="64DCC114">
      <w:pPr>
        <w:numPr>
          <w:ilvl w:val="0"/>
          <w:numId w:val="4"/>
        </w:numPr>
        <w:spacing w:line="360" w:lineRule="auto"/>
        <w:ind w:firstLine="422" w:firstLineChars="200"/>
        <w:jc w:val="both"/>
        <w:rPr>
          <w:rFonts w:hint="eastAsia" w:ascii="宋体" w:hAnsi="宋体" w:cs="宋体"/>
          <w:b/>
          <w:sz w:val="21"/>
          <w:szCs w:val="21"/>
        </w:rPr>
      </w:pPr>
      <w:r>
        <w:rPr>
          <w:rFonts w:hint="eastAsia" w:ascii="宋体" w:hAnsi="宋体"/>
          <w:b/>
          <w:sz w:val="21"/>
          <w:szCs w:val="21"/>
        </w:rPr>
        <w:t>项目现场勘察或答疑联系人：</w:t>
      </w:r>
    </w:p>
    <w:p w14:paraId="28348BFF">
      <w:pPr>
        <w:numPr>
          <w:ilvl w:val="0"/>
          <w:numId w:val="0"/>
        </w:numPr>
        <w:spacing w:line="360" w:lineRule="auto"/>
        <w:jc w:val="both"/>
        <w:rPr>
          <w:rFonts w:hint="default" w:ascii="宋体" w:hAnsi="宋体" w:eastAsia="宋体" w:cs="宋体"/>
          <w:b/>
          <w:sz w:val="21"/>
          <w:szCs w:val="21"/>
          <w:lang w:val="en-US" w:eastAsia="zh-CN"/>
        </w:rPr>
      </w:pPr>
      <w:r>
        <w:rPr>
          <w:rFonts w:hint="eastAsia" w:ascii="宋体" w:hAnsi="宋体"/>
          <w:b/>
          <w:sz w:val="21"/>
          <w:szCs w:val="21"/>
          <w:lang w:val="en-US" w:eastAsia="zh-CN"/>
        </w:rPr>
        <w:t xml:space="preserve">    联系人：王全新</w:t>
      </w:r>
    </w:p>
    <w:p w14:paraId="03E80000">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联系方式：18037338522</w:t>
      </w:r>
    </w:p>
    <w:p w14:paraId="7654AA68">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七、评标办法：</w:t>
      </w:r>
    </w:p>
    <w:p w14:paraId="291A50A4">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针对本项目具体情况，采用综合原则进行定标，即满足我司招标技术要求的前提下，对各投标单位的投标报价及所承诺的服务等综合评定后确定中标候选人。</w:t>
      </w:r>
    </w:p>
    <w:p w14:paraId="71947CF7">
      <w:pPr>
        <w:spacing w:line="360" w:lineRule="auto"/>
        <w:ind w:firstLine="422" w:firstLineChars="200"/>
        <w:jc w:val="both"/>
        <w:textAlignment w:val="bottom"/>
        <w:rPr>
          <w:rFonts w:hint="eastAsia" w:ascii="宋体" w:hAnsi="宋体"/>
          <w:b/>
          <w:sz w:val="21"/>
          <w:szCs w:val="21"/>
        </w:rPr>
      </w:pPr>
    </w:p>
    <w:p w14:paraId="688B0451">
      <w:pPr>
        <w:pStyle w:val="2"/>
        <w:numPr>
          <w:ilvl w:val="0"/>
          <w:numId w:val="0"/>
        </w:numPr>
        <w:spacing w:before="120" w:beforeLines="50" w:line="360" w:lineRule="auto"/>
        <w:rPr>
          <w:rFonts w:ascii="宋体" w:eastAsia="宋体"/>
          <w:b/>
          <w:bCs/>
          <w:sz w:val="24"/>
          <w:szCs w:val="24"/>
        </w:rPr>
      </w:pPr>
      <w:bookmarkStart w:id="10" w:name="_Toc25446"/>
      <w:r>
        <w:rPr>
          <w:rFonts w:hint="eastAsia" w:ascii="宋体" w:eastAsia="宋体"/>
          <w:b/>
          <w:bCs/>
          <w:sz w:val="24"/>
          <w:szCs w:val="24"/>
        </w:rPr>
        <w:t>第二章  投标单位须知</w:t>
      </w:r>
      <w:bookmarkEnd w:id="10"/>
    </w:p>
    <w:p w14:paraId="3831898B">
      <w:pPr>
        <w:spacing w:line="360" w:lineRule="auto"/>
        <w:ind w:firstLine="420" w:firstLineChars="200"/>
        <w:jc w:val="both"/>
        <w:rPr>
          <w:rFonts w:hint="eastAsia" w:ascii="宋体" w:hAnsi="宋体"/>
          <w:sz w:val="21"/>
          <w:szCs w:val="21"/>
        </w:rPr>
      </w:pPr>
      <w:r>
        <w:rPr>
          <w:rFonts w:hint="eastAsia" w:ascii="宋体" w:hAnsi="宋体"/>
          <w:sz w:val="21"/>
          <w:szCs w:val="21"/>
        </w:rPr>
        <w:t>1、投标文件编制及装订要求：</w:t>
      </w:r>
    </w:p>
    <w:p w14:paraId="5F766579">
      <w:pPr>
        <w:spacing w:line="360" w:lineRule="auto"/>
        <w:ind w:firstLine="422" w:firstLineChars="200"/>
        <w:jc w:val="both"/>
        <w:rPr>
          <w:rFonts w:hint="eastAsia" w:ascii="宋体" w:hAnsi="宋体"/>
          <w:b/>
          <w:bCs/>
          <w:sz w:val="21"/>
          <w:szCs w:val="21"/>
        </w:rPr>
      </w:pPr>
      <w:r>
        <w:rPr>
          <w:rFonts w:hint="eastAsia" w:ascii="宋体" w:hAnsi="宋体"/>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C1FB3D7">
      <w:pPr>
        <w:spacing w:line="360" w:lineRule="auto"/>
        <w:ind w:firstLine="420" w:firstLineChars="200"/>
        <w:jc w:val="both"/>
        <w:rPr>
          <w:rFonts w:hint="eastAsia" w:ascii="宋体" w:hAnsi="宋体"/>
          <w:sz w:val="21"/>
          <w:szCs w:val="21"/>
        </w:rPr>
      </w:pPr>
      <w:r>
        <w:rPr>
          <w:rFonts w:hint="eastAsia" w:ascii="宋体" w:hAnsi="宋体"/>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474313A0">
      <w:pPr>
        <w:spacing w:line="360" w:lineRule="auto"/>
        <w:ind w:firstLine="420" w:firstLineChars="200"/>
        <w:jc w:val="both"/>
        <w:rPr>
          <w:rFonts w:hint="eastAsia" w:ascii="宋体" w:hAnsi="宋体"/>
          <w:sz w:val="21"/>
          <w:szCs w:val="21"/>
        </w:rPr>
      </w:pPr>
      <w:r>
        <w:rPr>
          <w:rFonts w:hint="eastAsia" w:ascii="宋体" w:hAnsi="宋体"/>
          <w:sz w:val="21"/>
          <w:szCs w:val="21"/>
        </w:rPr>
        <w:t>2、投标文件中提供企业简介或企业基本情况一览表。</w:t>
      </w:r>
    </w:p>
    <w:p w14:paraId="7354B6C4">
      <w:pPr>
        <w:spacing w:line="360" w:lineRule="auto"/>
        <w:ind w:firstLine="420" w:firstLineChars="200"/>
        <w:jc w:val="both"/>
        <w:rPr>
          <w:rFonts w:hint="eastAsia" w:ascii="宋体" w:hAnsi="宋体"/>
          <w:b/>
          <w:bCs/>
          <w:color w:val="000000"/>
          <w:sz w:val="21"/>
          <w:szCs w:val="21"/>
        </w:rPr>
      </w:pPr>
      <w:r>
        <w:rPr>
          <w:rFonts w:hint="eastAsia" w:ascii="宋体" w:hAnsi="宋体"/>
          <w:sz w:val="21"/>
          <w:szCs w:val="21"/>
        </w:rPr>
        <w:t>3、资质文件：投标文件中必须包括企业营业执照、税务登记证、组织机构代码证（或三证合一）</w:t>
      </w:r>
      <w:r>
        <w:rPr>
          <w:rFonts w:hint="eastAsia" w:ascii="宋体" w:hAnsi="宋体"/>
          <w:color w:val="000000"/>
          <w:sz w:val="21"/>
          <w:szCs w:val="21"/>
        </w:rPr>
        <w:t>，资质证书等资料，投标现场提供原件备查。</w:t>
      </w:r>
      <w:r>
        <w:rPr>
          <w:rFonts w:hint="eastAsia" w:ascii="宋体" w:hAnsi="宋体"/>
          <w:b/>
          <w:bCs/>
          <w:color w:val="000000"/>
          <w:sz w:val="21"/>
          <w:szCs w:val="21"/>
        </w:rPr>
        <w:t>（对应招标公告中资质要求）</w:t>
      </w:r>
    </w:p>
    <w:p w14:paraId="13F46EA6">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4、业绩一览表：</w:t>
      </w:r>
    </w:p>
    <w:p w14:paraId="23458A15">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投标文件中必须包括业绩一览表及类似项目合同复印件。投标文件中需列出近三年以来类似项目情况介绍。</w:t>
      </w:r>
    </w:p>
    <w:p w14:paraId="3DCF0ED0">
      <w:pPr>
        <w:spacing w:line="360" w:lineRule="auto"/>
        <w:ind w:firstLine="420" w:firstLineChars="200"/>
        <w:jc w:val="both"/>
        <w:rPr>
          <w:rFonts w:hint="eastAsia" w:ascii="宋体" w:hAnsi="宋体"/>
          <w:sz w:val="21"/>
          <w:szCs w:val="21"/>
        </w:rPr>
      </w:pPr>
      <w:r>
        <w:rPr>
          <w:rFonts w:hint="eastAsia" w:ascii="宋体" w:hAnsi="宋体"/>
          <w:bCs/>
          <w:color w:val="000000"/>
          <w:sz w:val="21"/>
          <w:szCs w:val="21"/>
        </w:rPr>
        <w:t>5</w:t>
      </w:r>
      <w:r>
        <w:rPr>
          <w:rFonts w:hint="eastAsia" w:ascii="宋体" w:hAnsi="宋体"/>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14:paraId="4B780A78">
      <w:pPr>
        <w:spacing w:line="360" w:lineRule="auto"/>
        <w:ind w:firstLine="420" w:firstLineChars="200"/>
        <w:jc w:val="both"/>
        <w:rPr>
          <w:rFonts w:hint="eastAsia" w:ascii="宋体" w:hAnsi="宋体"/>
          <w:sz w:val="21"/>
          <w:szCs w:val="21"/>
        </w:rPr>
      </w:pPr>
      <w:r>
        <w:rPr>
          <w:rFonts w:hint="eastAsia" w:ascii="宋体" w:hAnsi="宋体"/>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57366D51">
      <w:pPr>
        <w:spacing w:line="360" w:lineRule="auto"/>
        <w:ind w:firstLine="420" w:firstLineChars="200"/>
        <w:jc w:val="both"/>
        <w:rPr>
          <w:rFonts w:hint="eastAsia" w:ascii="宋体" w:hAnsi="宋体"/>
          <w:sz w:val="21"/>
          <w:szCs w:val="21"/>
        </w:rPr>
      </w:pPr>
      <w:r>
        <w:rPr>
          <w:rFonts w:hint="eastAsia" w:ascii="宋体" w:hAnsi="宋体"/>
          <w:sz w:val="21"/>
          <w:szCs w:val="21"/>
        </w:rPr>
        <w:t>7、投标人出现以下情况，招标人有权扣除投标人投标保证金：</w:t>
      </w:r>
    </w:p>
    <w:p w14:paraId="5E0CA074">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围标、串标。</w:t>
      </w:r>
    </w:p>
    <w:p w14:paraId="25746ECA">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不履行投标承诺或者中标不履行。</w:t>
      </w:r>
    </w:p>
    <w:p w14:paraId="7ECAFD64">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伪造证明、证书、合同等相关证件。</w:t>
      </w:r>
    </w:p>
    <w:p w14:paraId="4C67E681">
      <w:pPr>
        <w:numPr>
          <w:ilvl w:val="0"/>
          <w:numId w:val="5"/>
        </w:numPr>
        <w:spacing w:line="360" w:lineRule="auto"/>
        <w:ind w:left="0" w:firstLine="422" w:firstLineChars="200"/>
        <w:jc w:val="both"/>
        <w:rPr>
          <w:rFonts w:hint="eastAsia" w:ascii="宋体" w:hAnsi="宋体"/>
          <w:b/>
          <w:bCs/>
          <w:sz w:val="21"/>
          <w:szCs w:val="21"/>
        </w:rPr>
      </w:pPr>
      <w:r>
        <w:rPr>
          <w:rFonts w:hint="eastAsia" w:ascii="宋体" w:hAnsi="宋体"/>
          <w:b/>
          <w:bCs/>
          <w:sz w:val="21"/>
          <w:szCs w:val="21"/>
        </w:rPr>
        <w:t>自通知中标结果之日起7个工作日内，拒不签署相关合同/拒不履行相关中标业务/未经甲方允许私自转包项目/未经甲方允许私自更换甲方确认过的相关项目团队人员等；</w:t>
      </w:r>
    </w:p>
    <w:p w14:paraId="4902C266">
      <w:pPr>
        <w:numPr>
          <w:ilvl w:val="0"/>
          <w:numId w:val="5"/>
        </w:numPr>
        <w:spacing w:line="360" w:lineRule="auto"/>
        <w:ind w:left="0" w:firstLine="420" w:firstLineChars="200"/>
        <w:jc w:val="both"/>
        <w:rPr>
          <w:rFonts w:hint="eastAsia" w:ascii="宋体" w:hAnsi="宋体"/>
          <w:sz w:val="21"/>
          <w:szCs w:val="21"/>
        </w:rPr>
      </w:pPr>
      <w:r>
        <w:rPr>
          <w:rFonts w:hint="eastAsia" w:ascii="宋体" w:hAnsi="宋体"/>
          <w:sz w:val="21"/>
          <w:szCs w:val="21"/>
        </w:rPr>
        <w:t>其他违反本次招标书约定要求。</w:t>
      </w:r>
    </w:p>
    <w:p w14:paraId="09E88D3D">
      <w:pPr>
        <w:spacing w:line="360" w:lineRule="auto"/>
        <w:ind w:firstLine="420" w:firstLineChars="200"/>
        <w:jc w:val="both"/>
        <w:rPr>
          <w:rFonts w:hint="eastAsia" w:ascii="宋体" w:hAnsi="宋体"/>
          <w:sz w:val="21"/>
          <w:szCs w:val="21"/>
        </w:rPr>
      </w:pPr>
      <w:r>
        <w:rPr>
          <w:rFonts w:hint="eastAsia" w:ascii="宋体" w:hAnsi="宋体"/>
          <w:sz w:val="21"/>
          <w:szCs w:val="21"/>
        </w:rPr>
        <w:t>8、投标方认可招标方的评标程序及原则。</w:t>
      </w:r>
    </w:p>
    <w:p w14:paraId="397F09E5">
      <w:pPr>
        <w:spacing w:line="360" w:lineRule="auto"/>
        <w:ind w:firstLine="420" w:firstLineChars="200"/>
        <w:jc w:val="both"/>
        <w:rPr>
          <w:rFonts w:hint="eastAsia" w:ascii="宋体" w:hAnsi="宋体"/>
          <w:sz w:val="21"/>
          <w:szCs w:val="21"/>
        </w:rPr>
      </w:pPr>
      <w:r>
        <w:rPr>
          <w:rFonts w:hint="eastAsia" w:ascii="宋体" w:hAnsi="宋体"/>
          <w:sz w:val="21"/>
          <w:szCs w:val="21"/>
        </w:rPr>
        <w:t>9、投标方接受招标方以电话通知中标结果的方式。</w:t>
      </w:r>
    </w:p>
    <w:p w14:paraId="59AB5A86">
      <w:pPr>
        <w:spacing w:line="360" w:lineRule="auto"/>
        <w:ind w:firstLine="420" w:firstLineChars="200"/>
        <w:jc w:val="both"/>
        <w:rPr>
          <w:rFonts w:hint="eastAsia" w:ascii="宋体" w:hAnsi="宋体"/>
          <w:sz w:val="21"/>
          <w:szCs w:val="21"/>
        </w:rPr>
      </w:pPr>
      <w:r>
        <w:rPr>
          <w:rFonts w:hint="eastAsia" w:ascii="宋体" w:hAnsi="宋体"/>
          <w:sz w:val="21"/>
          <w:szCs w:val="21"/>
        </w:rPr>
        <w:t>10、招标方不向中标方、落标方解释中标及落标原因，不退还投标文件。</w:t>
      </w:r>
    </w:p>
    <w:p w14:paraId="1DBCB9B2">
      <w:pPr>
        <w:spacing w:line="360" w:lineRule="auto"/>
        <w:ind w:firstLine="420" w:firstLineChars="200"/>
        <w:jc w:val="both"/>
        <w:rPr>
          <w:rFonts w:hint="eastAsia" w:ascii="宋体" w:hAnsi="宋体"/>
          <w:sz w:val="21"/>
          <w:szCs w:val="21"/>
        </w:rPr>
      </w:pPr>
      <w:r>
        <w:rPr>
          <w:rFonts w:hint="eastAsia" w:ascii="宋体" w:hAnsi="宋体"/>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6C2CB488">
      <w:pPr>
        <w:spacing w:line="360" w:lineRule="auto"/>
        <w:ind w:firstLine="420" w:firstLineChars="200"/>
        <w:jc w:val="both"/>
        <w:rPr>
          <w:rFonts w:hint="eastAsia" w:ascii="宋体" w:hAnsi="宋体"/>
          <w:sz w:val="21"/>
          <w:szCs w:val="21"/>
        </w:rPr>
      </w:pPr>
      <w:r>
        <w:rPr>
          <w:rFonts w:hint="eastAsia" w:ascii="宋体" w:hAnsi="宋体"/>
          <w:sz w:val="21"/>
          <w:szCs w:val="21"/>
        </w:rPr>
        <w:t>12、评标委员会经评审认为所有投标都不符合招标文件要求的，有权否决所有投标，招标方对受影响的投标方不承担任何责任，也无义务向受影响的投标方作出解释。</w:t>
      </w:r>
    </w:p>
    <w:p w14:paraId="0A16C191">
      <w:pPr>
        <w:spacing w:line="360" w:lineRule="auto"/>
        <w:ind w:firstLine="420" w:firstLineChars="200"/>
        <w:jc w:val="both"/>
        <w:rPr>
          <w:rFonts w:hint="eastAsia" w:ascii="宋体" w:hAnsi="宋体"/>
          <w:sz w:val="21"/>
          <w:szCs w:val="21"/>
        </w:rPr>
      </w:pPr>
      <w:r>
        <w:rPr>
          <w:rFonts w:hint="eastAsia" w:ascii="宋体" w:hAnsi="宋体"/>
          <w:sz w:val="21"/>
          <w:szCs w:val="21"/>
        </w:rPr>
        <w:t>13、投标时间截止后不再接收投标，视为投标单位放弃投标资格。</w:t>
      </w:r>
    </w:p>
    <w:p w14:paraId="260C8A67">
      <w:pPr>
        <w:spacing w:line="360" w:lineRule="auto"/>
        <w:ind w:firstLine="420" w:firstLineChars="200"/>
        <w:jc w:val="both"/>
        <w:rPr>
          <w:rFonts w:hint="eastAsia" w:ascii="宋体" w:hAnsi="宋体"/>
          <w:sz w:val="21"/>
          <w:szCs w:val="21"/>
        </w:rPr>
      </w:pPr>
      <w:r>
        <w:rPr>
          <w:rFonts w:hint="eastAsia" w:ascii="宋体" w:hAnsi="宋体"/>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1" w:name="_Toc364407827"/>
    </w:p>
    <w:p w14:paraId="4A266A22">
      <w:pPr>
        <w:spacing w:line="360" w:lineRule="auto"/>
        <w:ind w:firstLine="420" w:firstLineChars="200"/>
        <w:jc w:val="both"/>
        <w:rPr>
          <w:rFonts w:hint="eastAsia" w:ascii="宋体" w:hAnsi="宋体"/>
          <w:sz w:val="21"/>
          <w:szCs w:val="21"/>
        </w:rPr>
      </w:pPr>
      <w:r>
        <w:rPr>
          <w:rFonts w:hint="eastAsia" w:ascii="宋体" w:hAnsi="宋体"/>
          <w:sz w:val="21"/>
          <w:szCs w:val="21"/>
        </w:rPr>
        <w:t>15、招标文件</w:t>
      </w:r>
    </w:p>
    <w:p w14:paraId="3EC27697">
      <w:pPr>
        <w:spacing w:line="360" w:lineRule="auto"/>
        <w:ind w:firstLine="420" w:firstLineChars="200"/>
        <w:jc w:val="both"/>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14:paraId="454C4956">
      <w:pPr>
        <w:spacing w:line="360" w:lineRule="auto"/>
        <w:ind w:firstLine="420" w:firstLineChars="200"/>
        <w:jc w:val="both"/>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14:paraId="1AA630DA">
      <w:pPr>
        <w:spacing w:line="360" w:lineRule="auto"/>
        <w:ind w:firstLine="420" w:firstLineChars="200"/>
        <w:jc w:val="both"/>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14:paraId="74ACCF0B">
      <w:pPr>
        <w:spacing w:line="360" w:lineRule="auto"/>
        <w:ind w:firstLine="420" w:firstLineChars="200"/>
        <w:jc w:val="both"/>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14:paraId="248FCD83">
      <w:pPr>
        <w:spacing w:line="360" w:lineRule="auto"/>
        <w:ind w:firstLine="420" w:firstLineChars="200"/>
        <w:jc w:val="both"/>
        <w:rPr>
          <w:rFonts w:hint="eastAsia" w:ascii="宋体" w:hAnsi="宋体"/>
          <w:sz w:val="21"/>
          <w:szCs w:val="21"/>
        </w:rPr>
      </w:pPr>
      <w:r>
        <w:rPr>
          <w:rFonts w:hint="eastAsia" w:ascii="宋体" w:hAnsi="宋体"/>
          <w:sz w:val="21"/>
          <w:szCs w:val="21"/>
        </w:rPr>
        <w:t>16、投标文件的审查</w:t>
      </w:r>
    </w:p>
    <w:p w14:paraId="3BCBDF73">
      <w:pPr>
        <w:spacing w:line="360" w:lineRule="auto"/>
        <w:ind w:firstLine="420" w:firstLineChars="200"/>
        <w:jc w:val="both"/>
        <w:rPr>
          <w:rFonts w:hint="eastAsia" w:ascii="宋体" w:hAnsi="宋体"/>
          <w:sz w:val="21"/>
          <w:szCs w:val="21"/>
        </w:rPr>
      </w:pPr>
      <w:r>
        <w:rPr>
          <w:rFonts w:hint="eastAsia" w:ascii="宋体" w:hAnsi="宋体"/>
          <w:sz w:val="21"/>
          <w:szCs w:val="21"/>
        </w:rPr>
        <w:t>文字与图表不符，以文字为准。</w:t>
      </w:r>
    </w:p>
    <w:p w14:paraId="174815D9">
      <w:pPr>
        <w:spacing w:line="360" w:lineRule="auto"/>
        <w:ind w:firstLine="420" w:firstLineChars="200"/>
        <w:jc w:val="both"/>
        <w:rPr>
          <w:rFonts w:hint="eastAsia" w:ascii="宋体" w:hAnsi="宋体"/>
          <w:sz w:val="21"/>
          <w:szCs w:val="21"/>
        </w:rPr>
      </w:pPr>
      <w:r>
        <w:rPr>
          <w:rFonts w:hint="eastAsia" w:ascii="宋体" w:hAnsi="宋体"/>
          <w:sz w:val="21"/>
          <w:szCs w:val="21"/>
        </w:rPr>
        <w:t>单价与总价不符，以单价为准。</w:t>
      </w:r>
    </w:p>
    <w:p w14:paraId="437ADBDB">
      <w:pPr>
        <w:spacing w:line="360" w:lineRule="auto"/>
        <w:ind w:firstLine="420" w:firstLineChars="200"/>
        <w:jc w:val="both"/>
        <w:rPr>
          <w:rFonts w:hint="eastAsia" w:ascii="宋体" w:hAnsi="宋体"/>
          <w:sz w:val="21"/>
          <w:szCs w:val="21"/>
        </w:rPr>
      </w:pPr>
      <w:r>
        <w:rPr>
          <w:rFonts w:hint="eastAsia" w:ascii="宋体" w:hAnsi="宋体"/>
          <w:sz w:val="21"/>
          <w:szCs w:val="21"/>
        </w:rPr>
        <w:t>大写与小写不符，以大写为准。</w:t>
      </w:r>
    </w:p>
    <w:p w14:paraId="5B5138F9">
      <w:pPr>
        <w:spacing w:line="360" w:lineRule="auto"/>
        <w:ind w:firstLine="420" w:firstLineChars="200"/>
        <w:jc w:val="both"/>
        <w:rPr>
          <w:rFonts w:hint="eastAsia" w:ascii="宋体" w:hAnsi="宋体"/>
          <w:sz w:val="21"/>
          <w:szCs w:val="21"/>
        </w:rPr>
      </w:pPr>
      <w:r>
        <w:rPr>
          <w:rFonts w:hint="eastAsia" w:ascii="宋体" w:hAnsi="宋体"/>
          <w:sz w:val="21"/>
          <w:szCs w:val="21"/>
        </w:rPr>
        <w:t>正本与副本不符，以正本为准。</w:t>
      </w:r>
    </w:p>
    <w:p w14:paraId="56038F2F">
      <w:pPr>
        <w:spacing w:line="360" w:lineRule="auto"/>
        <w:ind w:firstLine="420" w:firstLineChars="200"/>
        <w:jc w:val="both"/>
        <w:rPr>
          <w:rFonts w:hint="eastAsia" w:ascii="宋体" w:hAnsi="宋体"/>
          <w:sz w:val="21"/>
          <w:szCs w:val="21"/>
        </w:rPr>
      </w:pPr>
      <w:r>
        <w:rPr>
          <w:rFonts w:hint="eastAsia" w:ascii="宋体" w:hAnsi="宋体"/>
          <w:sz w:val="21"/>
          <w:szCs w:val="21"/>
        </w:rPr>
        <w:t>投标文件是否符合招标文件的要求。</w:t>
      </w:r>
    </w:p>
    <w:p w14:paraId="6198D909">
      <w:pPr>
        <w:numPr>
          <w:ilvl w:val="0"/>
          <w:numId w:val="6"/>
        </w:numPr>
        <w:spacing w:line="360" w:lineRule="auto"/>
        <w:ind w:firstLine="420" w:firstLineChars="200"/>
        <w:jc w:val="both"/>
        <w:rPr>
          <w:rFonts w:hint="eastAsia" w:ascii="宋体" w:hAnsi="宋体"/>
          <w:sz w:val="21"/>
          <w:szCs w:val="21"/>
        </w:rPr>
      </w:pPr>
      <w:r>
        <w:rPr>
          <w:rFonts w:hint="eastAsia" w:ascii="宋体" w:hAnsi="宋体"/>
          <w:sz w:val="21"/>
          <w:szCs w:val="21"/>
        </w:rPr>
        <w:t>无效标书的确认</w:t>
      </w:r>
    </w:p>
    <w:p w14:paraId="3FCB1BBD">
      <w:pPr>
        <w:spacing w:line="360" w:lineRule="auto"/>
        <w:ind w:firstLine="420" w:firstLineChars="200"/>
        <w:jc w:val="both"/>
        <w:rPr>
          <w:rFonts w:hint="eastAsia" w:ascii="宋体" w:hAnsi="宋体"/>
          <w:sz w:val="21"/>
          <w:szCs w:val="21"/>
        </w:rPr>
      </w:pPr>
      <w:r>
        <w:rPr>
          <w:rFonts w:hint="eastAsia" w:ascii="宋体" w:hAnsi="宋体"/>
          <w:sz w:val="21"/>
          <w:szCs w:val="21"/>
        </w:rPr>
        <w:t>投标人有下列情况之一者，所投标书无效：</w:t>
      </w:r>
    </w:p>
    <w:p w14:paraId="6DF409F5">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投标书未密封的；</w:t>
      </w:r>
    </w:p>
    <w:p w14:paraId="462EF636">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投标书未按规定加盖投标单位公章（或合同章）的；</w:t>
      </w:r>
    </w:p>
    <w:p w14:paraId="12A8595A">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投标单位法定代表人或其代理人资料未按规定加盖公章（或签字）的；</w:t>
      </w:r>
    </w:p>
    <w:p w14:paraId="5F787C1A">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投标书未按规定的格式，内容和要求填写的；</w:t>
      </w:r>
    </w:p>
    <w:p w14:paraId="2C3DEA4E">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投标书书写潦草，字迹模糊不清，无法辨认的；</w:t>
      </w:r>
    </w:p>
    <w:p w14:paraId="5E528BA6">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投标书内容不全或自相矛盾的；</w:t>
      </w:r>
    </w:p>
    <w:p w14:paraId="1FC44CED">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同一项目有多个投标报价、且未声明以哪一个为准的；</w:t>
      </w:r>
    </w:p>
    <w:p w14:paraId="48C7EFF9">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投标书超过规定期限送达的；</w:t>
      </w:r>
    </w:p>
    <w:p w14:paraId="394DEF0F">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投标人未准时参加开标会议的；</w:t>
      </w:r>
    </w:p>
    <w:p w14:paraId="7DD8F6DA">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未按规定交纳投标保证金的；</w:t>
      </w:r>
    </w:p>
    <w:p w14:paraId="0782F253">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恶意串通其他投标人，故意哄抬价格或压价，违反国家有关政策的；</w:t>
      </w:r>
    </w:p>
    <w:p w14:paraId="459707A2">
      <w:pPr>
        <w:numPr>
          <w:ilvl w:val="0"/>
          <w:numId w:val="7"/>
        </w:numPr>
        <w:spacing w:line="360" w:lineRule="auto"/>
        <w:ind w:left="0" w:firstLine="422" w:firstLineChars="200"/>
        <w:jc w:val="both"/>
        <w:rPr>
          <w:rFonts w:hint="eastAsia" w:ascii="宋体" w:hAnsi="宋体"/>
          <w:sz w:val="21"/>
          <w:szCs w:val="21"/>
        </w:rPr>
      </w:pPr>
      <w:r>
        <w:rPr>
          <w:rFonts w:hint="eastAsia" w:ascii="宋体" w:hAnsi="宋体"/>
          <w:b/>
          <w:bCs/>
          <w:sz w:val="21"/>
          <w:szCs w:val="21"/>
        </w:rPr>
        <w:t>投标人的投标书未完全响应招标文件要求的；</w:t>
      </w:r>
    </w:p>
    <w:p w14:paraId="4E0CB581">
      <w:pPr>
        <w:numPr>
          <w:ilvl w:val="0"/>
          <w:numId w:val="7"/>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投标单位不具备招标文件中规定资格要求的。</w:t>
      </w:r>
    </w:p>
    <w:bookmarkEnd w:id="11"/>
    <w:p w14:paraId="6CEC0545">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E029">
    <w:pPr>
      <w:pStyle w:val="3"/>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EB9D">
    <w:pPr>
      <w:pStyle w:val="3"/>
      <w:spacing w:line="36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67DE">
    <w:pPr>
      <w:pStyle w:val="4"/>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91008" behindDoc="0" locked="0" layoutInCell="1" allowOverlap="1">
          <wp:simplePos x="0" y="0"/>
          <wp:positionH relativeFrom="column">
            <wp:posOffset>3810</wp:posOffset>
          </wp:positionH>
          <wp:positionV relativeFrom="paragraph">
            <wp:posOffset>-126365</wp:posOffset>
          </wp:positionV>
          <wp:extent cx="485775" cy="476250"/>
          <wp:effectExtent l="0" t="0" r="9525" b="0"/>
          <wp:wrapTight wrapText="bothSides">
            <wp:wrapPolygon>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height:0pt;width:0.05pt;mso-position-horizontal:center;mso-position-horizontal-relative:margin;mso-position-vertical:center;mso-position-vertical-relative:margin;z-index:-2516418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hwl/c8AAAD/AAAADwAAAAAA&#10;AAABACAAAAAiAAAAZHJzL2Rvd25yZXYueG1sUEsBAhQAFAAAAAgAh07iQHJkf+OqAQAAWwMAAA4A&#10;AAAAAAAAAQAgAAAAHgEAAGRycy9lMm9Eb2MueG1sUEsFBgAAAAAGAAYAWQEAADoFAAAAAA==&#10;">
              <v:fill on="f" focussize="0,0"/>
              <v:stroke on="f"/>
              <v:imagedata o:title=""/>
              <o:lock v:ext="edit" aspectratio="t"/>
            </v:rect>
          </w:pict>
        </mc:Fallback>
      </mc:AlternateContent>
    </w:r>
    <w:r>
      <w:rPr>
        <w:rFonts w:hint="eastAsia"/>
        <w:sz w:val="24"/>
        <w:szCs w:val="24"/>
      </w:rPr>
      <w:t>思念食品有限公司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9CEB">
    <w:pPr>
      <w:pStyle w:val="4"/>
      <w:pBdr>
        <w:bottom w:val="none" w:color="auto" w:sz="0" w:space="0"/>
      </w:pBdr>
    </w:pPr>
    <w:r>
      <w:pict>
        <v:shape id="PowerPlusWaterMarkObject20" o:spid="_x0000_s2064" o:spt="136" type="#_x0000_t136" style="position:absolute;left:0pt;margin-left:-56.2pt;margin-top:0pt;height:15.8pt;width:102.65pt;rotation:-1310720f;z-index:-25164083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1" o:spid="_x0000_s2065" o:spt="136" type="#_x0000_t136" style="position:absolute;left:0pt;margin-left:-56.2pt;margin-top:198.7pt;height:15.8pt;width:102.65pt;rotation:-1310720f;z-index:-25163980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2" o:spid="_x0000_s2066" o:spt="136" type="#_x0000_t136" style="position:absolute;left:0pt;margin-left:-56.2pt;margin-top:397.45pt;height:15.8pt;width:102.65pt;rotation:-1310720f;z-index:-25163878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3" o:spid="_x0000_s2067" o:spt="136" type="#_x0000_t136" style="position:absolute;left:0pt;margin-left:-56.2pt;margin-top:596.2pt;height:15.8pt;width:102.65pt;rotation:-1310720f;z-index:-25163776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4" o:spid="_x0000_s2068" o:spt="136" type="#_x0000_t136" style="position:absolute;left:0pt;margin-left:-56.2pt;margin-top:794.95pt;height:15.8pt;width:102.65pt;rotation:-1310720f;z-index:-25163673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5" o:spid="_x0000_s2069" o:spt="136" type="#_x0000_t136" style="position:absolute;left:0pt;margin-left:193.45pt;margin-top:0pt;height:15.8pt;width:102.65pt;rotation:-1310720f;z-index:-25163571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6" o:spid="_x0000_s2070" o:spt="136" type="#_x0000_t136" style="position:absolute;left:0pt;margin-left:193.45pt;margin-top:198.7pt;height:15.8pt;width:102.65pt;rotation:-1310720f;z-index:-25163468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7" o:spid="_x0000_s2071" o:spt="136" type="#_x0000_t136" style="position:absolute;left:0pt;margin-left:193.45pt;margin-top:397.45pt;height:15.8pt;width:102.65pt;rotation:-1310720f;z-index:-25163366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8" o:spid="_x0000_s2072" o:spt="136" type="#_x0000_t136" style="position:absolute;left:0pt;margin-left:193.45pt;margin-top:596.2pt;height:15.8pt;width:102.65pt;rotation:-1310720f;z-index:-25163264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9" o:spid="_x0000_s2073" o:spt="136" type="#_x0000_t136" style="position:absolute;left:0pt;margin-left:193.45pt;margin-top:794.95pt;height:15.8pt;width:102.65pt;rotation:-1310720f;z-index:-2516316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0" o:spid="_x0000_s2074" o:spt="136" type="#_x0000_t136" style="position:absolute;left:0pt;margin-left:443.2pt;margin-top:0pt;height:15.8pt;width:102.65pt;rotation:-1310720f;z-index:-2516305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1" o:spid="_x0000_s2075" o:spt="136" type="#_x0000_t136" style="position:absolute;left:0pt;margin-left:443.2pt;margin-top:198.7pt;height:15.8pt;width:102.65pt;rotation:-1310720f;z-index:-2516295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2" o:spid="_x0000_s2076" o:spt="136" type="#_x0000_t136" style="position:absolute;left:0pt;margin-left:443.2pt;margin-top:397.45pt;height:15.8pt;width:102.65pt;rotation:-1310720f;z-index:-2516285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3" o:spid="_x0000_s2077" o:spt="136" type="#_x0000_t136" style="position:absolute;left:0pt;margin-left:443.2pt;margin-top:596.2pt;height:15.8pt;width:102.65pt;rotation:-1310720f;z-index:-2516275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4" o:spid="_x0000_s2078" o:spt="136" type="#_x0000_t136" style="position:absolute;left:0pt;margin-left:443.2pt;margin-top:794.95pt;height:15.8pt;width:102.65pt;rotation:-1310720f;z-index:-2516264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8150">
    <w:pPr>
      <w:pStyle w:val="4"/>
      <w:pBdr>
        <w:bottom w:val="none" w:color="auto" w:sz="0" w:space="0"/>
      </w:pBdr>
    </w:pPr>
    <w:r>
      <w:pict>
        <v:shape id="PowerPlusWaterMarkObject35" o:spid="_x0000_s2049" o:spt="136" type="#_x0000_t136" style="position:absolute;left:0pt;margin-left:-56.2pt;margin-top:0pt;height:15.8pt;width:102.65pt;rotation:-1310720f;z-index:-2516572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6" o:spid="_x0000_s2050" o:spt="136" type="#_x0000_t136" style="position:absolute;left:0pt;margin-left:-56.2pt;margin-top:198.7pt;height:15.8pt;width:102.65pt;rotation:-1310720f;z-index:-2516561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7" o:spid="_x0000_s2051" o:spt="136" type="#_x0000_t136" style="position:absolute;left:0pt;margin-left:-56.2pt;margin-top:397.45pt;height:15.8pt;width:102.65pt;rotation:-1310720f;z-index:-2516551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8" o:spid="_x0000_s2052" o:spt="136" type="#_x0000_t136" style="position:absolute;left:0pt;margin-left:-56.2pt;margin-top:596.2pt;height:15.8pt;width:102.65pt;rotation:-1310720f;z-index:-2516541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9" o:spid="_x0000_s2053" o:spt="136" type="#_x0000_t136" style="position:absolute;left:0pt;margin-left:-56.2pt;margin-top:794.95pt;height:15.8pt;width:102.65pt;rotation:-1310720f;z-index:-2516531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0" o:spid="_x0000_s2054" o:spt="136" type="#_x0000_t136" style="position:absolute;left:0pt;margin-left:193.45pt;margin-top:0pt;height:15.8pt;width:102.65pt;rotation:-1310720f;z-index:-2516520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1" o:spid="_x0000_s2055" o:spt="136" type="#_x0000_t136" style="position:absolute;left:0pt;margin-left:193.45pt;margin-top:198.7pt;height:15.8pt;width:102.65pt;rotation:-1310720f;z-index:-2516510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2" o:spid="_x0000_s2056" o:spt="136" type="#_x0000_t136" style="position:absolute;left:0pt;margin-left:193.45pt;margin-top:397.45pt;height:15.8pt;width:102.65pt;rotation:-1310720f;z-index:-2516500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3" o:spid="_x0000_s2057" o:spt="136" type="#_x0000_t136" style="position:absolute;left:0pt;margin-left:193.45pt;margin-top:596.2pt;height:15.8pt;width:102.65pt;rotation:-1310720f;z-index:-25164902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4" o:spid="_x0000_s2058" o:spt="136" type="#_x0000_t136" style="position:absolute;left:0pt;margin-left:193.45pt;margin-top:794.95pt;height:15.8pt;width:102.65pt;rotation:-1310720f;z-index:-25164800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5" o:spid="_x0000_s2059" o:spt="136" type="#_x0000_t136" style="position:absolute;left:0pt;margin-left:443.2pt;margin-top:0pt;height:15.8pt;width:102.65pt;rotation:-1310720f;z-index:-25164697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6" o:spid="_x0000_s2060" o:spt="136" type="#_x0000_t136" style="position:absolute;left:0pt;margin-left:443.2pt;margin-top:198.7pt;height:15.8pt;width:102.65pt;rotation:-1310720f;z-index:-25164595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7" o:spid="_x0000_s2061" o:spt="136" type="#_x0000_t136" style="position:absolute;left:0pt;margin-left:443.2pt;margin-top:397.45pt;height:15.8pt;width:102.65pt;rotation:-1310720f;z-index:-25164492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8" o:spid="_x0000_s2062" o:spt="136" type="#_x0000_t136" style="position:absolute;left:0pt;margin-left:443.2pt;margin-top:596.2pt;height:15.8pt;width:102.65pt;rotation:-1310720f;z-index:-25164390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9" o:spid="_x0000_s2063" o:spt="136" type="#_x0000_t136" style="position:absolute;left:0pt;margin-left:443.2pt;margin-top:794.95pt;height:15.8pt;width:102.65pt;rotation:-1310720f;z-index:-25164288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B3D56"/>
    <w:multiLevelType w:val="singleLevel"/>
    <w:tmpl w:val="B86B3D56"/>
    <w:lvl w:ilvl="0" w:tentative="0">
      <w:start w:val="2"/>
      <w:numFmt w:val="decimal"/>
      <w:lvlText w:val="%1."/>
      <w:lvlJc w:val="left"/>
      <w:pPr>
        <w:tabs>
          <w:tab w:val="left" w:pos="312"/>
        </w:tabs>
      </w:pPr>
    </w:lvl>
  </w:abstractNum>
  <w:abstractNum w:abstractNumId="1">
    <w:nsid w:val="E5C5ED03"/>
    <w:multiLevelType w:val="singleLevel"/>
    <w:tmpl w:val="E5C5ED03"/>
    <w:lvl w:ilvl="0" w:tentative="0">
      <w:start w:val="1"/>
      <w:numFmt w:val="decimal"/>
      <w:lvlText w:val="(%1)"/>
      <w:lvlJc w:val="left"/>
      <w:pPr>
        <w:ind w:left="425" w:hanging="425"/>
      </w:pPr>
      <w:rPr>
        <w:rFonts w:hint="default"/>
      </w:rPr>
    </w:lvl>
  </w:abstractNum>
  <w:abstractNum w:abstractNumId="2">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lvlText w:val="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6B7AA8F"/>
    <w:multiLevelType w:val="singleLevel"/>
    <w:tmpl w:val="06B7AA8F"/>
    <w:lvl w:ilvl="0" w:tentative="0">
      <w:start w:val="17"/>
      <w:numFmt w:val="decimal"/>
      <w:suff w:val="nothing"/>
      <w:lvlText w:val="%1、"/>
      <w:lvlJc w:val="left"/>
    </w:lvl>
  </w:abstractNum>
  <w:abstractNum w:abstractNumId="4">
    <w:nsid w:val="1F1FEBE7"/>
    <w:multiLevelType w:val="singleLevel"/>
    <w:tmpl w:val="1F1FEBE7"/>
    <w:lvl w:ilvl="0" w:tentative="0">
      <w:start w:val="6"/>
      <w:numFmt w:val="decimal"/>
      <w:suff w:val="nothing"/>
      <w:lvlText w:val="%1、"/>
      <w:lvlJc w:val="left"/>
    </w:lvl>
  </w:abstractNum>
  <w:abstractNum w:abstractNumId="5">
    <w:nsid w:val="564DC07C"/>
    <w:multiLevelType w:val="singleLevel"/>
    <w:tmpl w:val="564DC07C"/>
    <w:lvl w:ilvl="0" w:tentative="0">
      <w:start w:val="3"/>
      <w:numFmt w:val="chineseCounting"/>
      <w:suff w:val="nothing"/>
      <w:lvlText w:val="%1、"/>
      <w:lvlJc w:val="left"/>
      <w:rPr>
        <w:rFonts w:hint="eastAsia"/>
      </w:rPr>
    </w:lvl>
  </w:abstractNum>
  <w:abstractNum w:abstractNumId="6">
    <w:nsid w:val="602B5BE0"/>
    <w:multiLevelType w:val="singleLevel"/>
    <w:tmpl w:val="602B5BE0"/>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A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5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9628"/>
      </w:tabs>
      <w:spacing w:line="360" w:lineRule="auto"/>
      <w:ind w:firstLine="135" w:firstLineChars="135"/>
      <w:jc w:val="right"/>
    </w:pPr>
  </w:style>
  <w:style w:type="paragraph" w:styleId="6">
    <w:name w:val="toc 2"/>
    <w:basedOn w:val="1"/>
    <w:next w:val="1"/>
    <w:qFormat/>
    <w:uiPriority w:val="0"/>
    <w:pPr>
      <w:tabs>
        <w:tab w:val="right" w:leader="dot" w:pos="9628"/>
      </w:tabs>
      <w:spacing w:line="360" w:lineRule="auto"/>
      <w:ind w:firstLine="270" w:firstLineChars="270"/>
      <w:jc w:val="right"/>
    </w:pPr>
  </w:style>
  <w:style w:type="paragraph" w:customStyle="1" w:styleId="9">
    <w:name w:val="正文－华文中宋，小四"/>
    <w:basedOn w:val="1"/>
    <w:qFormat/>
    <w:uiPriority w:val="0"/>
    <w:pPr>
      <w:ind w:firstLine="233" w:firstLineChars="233"/>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49"/>
    <customShpInfo spid="_x0000_s2050" textRotate="1"/>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2025-12-01T11:06:35Z</dcterms:created>
  <dc:creator>CCL</dc:creator>
  <cp:lastModifiedBy>崔春丽</cp:lastModifiedBy>
  <dcterms:modified xsi:type="dcterms:W3CDTF">2025-12-01T11:07:08Z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eyJoZGlkIjoiYzc5YTNmNDAxZmYwYzcwYmQ5NDRjYzFjYTY2ZDExOWYiLCJ1c2VySWQiOiI3NDQ1MzM2ODYifQ==</vt:lpwstr>
  </property>
  <property fmtid="{D5CDD505-2E9C-101B-9397-08002B2CF9AE}" pid="4" name="ICV">
    <vt:lpwstr>E0C2B845FE1E419DB94F8EADA66F1954_12</vt:lpwstr>
  </property>
</Properties>
</file>